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06C5" w14:textId="46413BC9" w:rsidR="00C252EA" w:rsidRPr="00B33806" w:rsidRDefault="001473A4" w:rsidP="00B33806">
      <w:pPr>
        <w:pStyle w:val="Title"/>
        <w:ind w:right="18"/>
      </w:pPr>
      <w:r>
        <w:rPr>
          <w:noProof/>
        </w:rPr>
        <w:pict w14:anchorId="2E1FF9C0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1BBCF7F8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3B81A7EE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78143032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64167D12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4DC8FCA5" w14:textId="77777777" w:rsidR="00B33806" w:rsidRDefault="00B33806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2912F5E" w14:textId="77777777" w:rsidR="00C252EA" w:rsidRPr="00B33806" w:rsidRDefault="00C252EA" w:rsidP="00B33806">
      <w:pPr>
        <w:spacing w:after="40"/>
        <w:ind w:left="1080" w:right="936"/>
        <w:jc w:val="both"/>
        <w:outlineLvl w:val="0"/>
        <w:rPr>
          <w:rFonts w:ascii="Arial" w:hAnsi="Arial"/>
          <w:b/>
          <w:bCs/>
          <w:sz w:val="24"/>
          <w:szCs w:val="24"/>
          <w:u w:val="single"/>
        </w:rPr>
      </w:pPr>
      <w:r w:rsidRPr="00B33806">
        <w:rPr>
          <w:rFonts w:ascii="Arial" w:hAnsi="Arial"/>
          <w:b/>
          <w:bCs/>
          <w:sz w:val="24"/>
          <w:szCs w:val="24"/>
          <w:u w:val="single"/>
        </w:rPr>
        <w:t>Parts Affected:</w:t>
      </w:r>
    </w:p>
    <w:p w14:paraId="06D2F26F" w14:textId="77777777" w:rsidR="0005006C" w:rsidRPr="00B33806" w:rsidRDefault="00DE0EB6" w:rsidP="00B33806">
      <w:pPr>
        <w:spacing w:after="40"/>
        <w:ind w:left="1080" w:right="936"/>
        <w:jc w:val="both"/>
        <w:outlineLvl w:val="0"/>
        <w:rPr>
          <w:rFonts w:ascii="Arial" w:hAnsi="Arial"/>
          <w:bCs/>
          <w:sz w:val="24"/>
          <w:szCs w:val="24"/>
        </w:rPr>
      </w:pPr>
      <w:r w:rsidRPr="00B33806">
        <w:rPr>
          <w:rFonts w:ascii="Arial" w:hAnsi="Arial"/>
          <w:bCs/>
          <w:sz w:val="24"/>
          <w:szCs w:val="24"/>
        </w:rPr>
        <w:t xml:space="preserve">CPR5U-040 </w:t>
      </w:r>
      <w:r w:rsidR="00BE0BF6">
        <w:rPr>
          <w:rFonts w:ascii="Arial" w:hAnsi="Arial"/>
          <w:bCs/>
          <w:sz w:val="24"/>
          <w:szCs w:val="24"/>
        </w:rPr>
        <w:t>g</w:t>
      </w:r>
      <w:r w:rsidRPr="00B33806">
        <w:rPr>
          <w:rFonts w:ascii="Arial" w:hAnsi="Arial"/>
          <w:bCs/>
          <w:sz w:val="24"/>
          <w:szCs w:val="24"/>
        </w:rPr>
        <w:t xml:space="preserve">lass </w:t>
      </w:r>
      <w:r w:rsidR="00BE0BF6">
        <w:rPr>
          <w:rFonts w:ascii="Arial" w:hAnsi="Arial"/>
          <w:bCs/>
          <w:sz w:val="24"/>
          <w:szCs w:val="24"/>
        </w:rPr>
        <w:t>p</w:t>
      </w:r>
      <w:r w:rsidRPr="00B33806">
        <w:rPr>
          <w:rFonts w:ascii="Arial" w:hAnsi="Arial"/>
          <w:bCs/>
          <w:sz w:val="24"/>
          <w:szCs w:val="24"/>
        </w:rPr>
        <w:t xml:space="preserve">assivated </w:t>
      </w:r>
      <w:proofErr w:type="spellStart"/>
      <w:r w:rsidR="00BE0BF6">
        <w:rPr>
          <w:rFonts w:ascii="Arial" w:hAnsi="Arial"/>
          <w:bCs/>
          <w:sz w:val="24"/>
          <w:szCs w:val="24"/>
        </w:rPr>
        <w:t>u</w:t>
      </w:r>
      <w:r w:rsidRPr="00B33806">
        <w:rPr>
          <w:rFonts w:ascii="Arial" w:hAnsi="Arial"/>
          <w:bCs/>
          <w:sz w:val="24"/>
          <w:szCs w:val="24"/>
        </w:rPr>
        <w:t xml:space="preserve">ltra </w:t>
      </w:r>
      <w:r w:rsidR="00BE0BF6">
        <w:rPr>
          <w:rFonts w:ascii="Arial" w:hAnsi="Arial"/>
          <w:bCs/>
          <w:sz w:val="24"/>
          <w:szCs w:val="24"/>
        </w:rPr>
        <w:t>f</w:t>
      </w:r>
      <w:r w:rsidRPr="00B33806">
        <w:rPr>
          <w:rFonts w:ascii="Arial" w:hAnsi="Arial"/>
          <w:bCs/>
          <w:sz w:val="24"/>
          <w:szCs w:val="24"/>
        </w:rPr>
        <w:t>ast</w:t>
      </w:r>
      <w:proofErr w:type="spellEnd"/>
      <w:r w:rsidRPr="00B33806">
        <w:rPr>
          <w:rFonts w:ascii="Arial" w:hAnsi="Arial"/>
          <w:bCs/>
          <w:sz w:val="24"/>
          <w:szCs w:val="24"/>
        </w:rPr>
        <w:t xml:space="preserve"> </w:t>
      </w:r>
      <w:r w:rsidR="00BE0BF6">
        <w:rPr>
          <w:rFonts w:ascii="Arial" w:hAnsi="Arial"/>
          <w:bCs/>
          <w:sz w:val="24"/>
          <w:szCs w:val="24"/>
        </w:rPr>
        <w:t>r</w:t>
      </w:r>
      <w:r w:rsidRPr="00B33806">
        <w:rPr>
          <w:rFonts w:ascii="Arial" w:hAnsi="Arial"/>
          <w:bCs/>
          <w:sz w:val="24"/>
          <w:szCs w:val="24"/>
        </w:rPr>
        <w:t xml:space="preserve">ecovery </w:t>
      </w:r>
      <w:r w:rsidR="00BE0BF6">
        <w:rPr>
          <w:rFonts w:ascii="Arial" w:hAnsi="Arial"/>
          <w:bCs/>
          <w:sz w:val="24"/>
          <w:szCs w:val="24"/>
        </w:rPr>
        <w:t>r</w:t>
      </w:r>
      <w:r w:rsidRPr="00B33806">
        <w:rPr>
          <w:rFonts w:ascii="Arial" w:hAnsi="Arial"/>
          <w:bCs/>
          <w:sz w:val="24"/>
          <w:szCs w:val="24"/>
        </w:rPr>
        <w:t>ectifier.</w:t>
      </w:r>
    </w:p>
    <w:p w14:paraId="65AB3229" w14:textId="77777777" w:rsidR="00E2548D" w:rsidRDefault="00E2548D" w:rsidP="00B33806">
      <w:pPr>
        <w:spacing w:after="40"/>
        <w:ind w:left="1080" w:right="936"/>
        <w:jc w:val="both"/>
        <w:outlineLvl w:val="0"/>
        <w:rPr>
          <w:rFonts w:ascii="Arial" w:hAnsi="Arial"/>
          <w:b/>
          <w:bCs/>
          <w:sz w:val="24"/>
          <w:szCs w:val="24"/>
          <w:u w:val="single"/>
        </w:rPr>
      </w:pPr>
    </w:p>
    <w:p w14:paraId="73B044AE" w14:textId="77777777" w:rsidR="00BE0BF6" w:rsidRPr="00B33806" w:rsidRDefault="00BE0BF6" w:rsidP="00B33806">
      <w:pPr>
        <w:spacing w:after="40"/>
        <w:ind w:left="1080" w:right="936"/>
        <w:jc w:val="both"/>
        <w:outlineLvl w:val="0"/>
        <w:rPr>
          <w:rFonts w:ascii="Arial" w:hAnsi="Arial"/>
          <w:b/>
          <w:bCs/>
          <w:sz w:val="24"/>
          <w:szCs w:val="24"/>
          <w:u w:val="single"/>
        </w:rPr>
      </w:pPr>
    </w:p>
    <w:p w14:paraId="4C47B5BB" w14:textId="77777777" w:rsidR="00C252EA" w:rsidRPr="00B33806" w:rsidRDefault="00DE0EB6" w:rsidP="00B33806">
      <w:pPr>
        <w:spacing w:after="40"/>
        <w:ind w:left="1080" w:right="936"/>
        <w:jc w:val="both"/>
        <w:outlineLvl w:val="0"/>
        <w:rPr>
          <w:rFonts w:ascii="Arial" w:hAnsi="Arial"/>
          <w:b/>
          <w:bCs/>
          <w:sz w:val="24"/>
          <w:szCs w:val="24"/>
          <w:u w:val="single"/>
        </w:rPr>
      </w:pPr>
      <w:r w:rsidRPr="00B33806">
        <w:rPr>
          <w:rFonts w:ascii="Arial" w:hAnsi="Arial"/>
          <w:b/>
          <w:bCs/>
          <w:sz w:val="24"/>
          <w:szCs w:val="24"/>
          <w:u w:val="single"/>
        </w:rPr>
        <w:t>Reason for</w:t>
      </w:r>
      <w:r w:rsidR="00C252EA" w:rsidRPr="00B33806">
        <w:rPr>
          <w:rFonts w:ascii="Arial" w:hAnsi="Arial"/>
          <w:b/>
          <w:bCs/>
          <w:sz w:val="24"/>
          <w:szCs w:val="24"/>
          <w:u w:val="single"/>
        </w:rPr>
        <w:t xml:space="preserve"> Change:</w:t>
      </w:r>
    </w:p>
    <w:p w14:paraId="76139DC6" w14:textId="77777777" w:rsidR="0005006C" w:rsidRPr="00B33806" w:rsidRDefault="00AE5BE7" w:rsidP="00B33806">
      <w:pPr>
        <w:ind w:left="1080" w:right="93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enhance product manufacturability</w:t>
      </w:r>
      <w:r w:rsidR="002D1CC5" w:rsidRPr="00B33806">
        <w:rPr>
          <w:rFonts w:ascii="Arial" w:hAnsi="Arial"/>
          <w:sz w:val="24"/>
          <w:szCs w:val="24"/>
        </w:rPr>
        <w:t>.</w:t>
      </w:r>
    </w:p>
    <w:p w14:paraId="6998A2C6" w14:textId="77777777" w:rsidR="00DE0EB6" w:rsidRPr="00B33806" w:rsidRDefault="00DE0EB6" w:rsidP="00B33806">
      <w:pPr>
        <w:ind w:left="1080" w:right="936"/>
        <w:jc w:val="both"/>
        <w:rPr>
          <w:rFonts w:ascii="Arial" w:hAnsi="Arial"/>
          <w:sz w:val="24"/>
          <w:szCs w:val="24"/>
        </w:rPr>
      </w:pPr>
    </w:p>
    <w:p w14:paraId="1FA96ADC" w14:textId="77777777" w:rsidR="005B3027" w:rsidRPr="00B33806" w:rsidRDefault="005B3027" w:rsidP="00B33806">
      <w:pPr>
        <w:ind w:left="1080" w:right="936"/>
        <w:jc w:val="both"/>
        <w:rPr>
          <w:rFonts w:ascii="Arial" w:hAnsi="Arial"/>
          <w:sz w:val="24"/>
          <w:szCs w:val="24"/>
        </w:rPr>
      </w:pPr>
    </w:p>
    <w:p w14:paraId="41754719" w14:textId="77777777" w:rsidR="00C252EA" w:rsidRPr="00B33806" w:rsidRDefault="00DE0EB6" w:rsidP="00B33806">
      <w:pPr>
        <w:spacing w:after="40"/>
        <w:ind w:left="1080" w:right="936"/>
        <w:jc w:val="both"/>
        <w:outlineLvl w:val="0"/>
        <w:rPr>
          <w:rFonts w:ascii="Arial" w:hAnsi="Arial"/>
          <w:b/>
          <w:bCs/>
          <w:sz w:val="24"/>
          <w:szCs w:val="24"/>
          <w:u w:val="single"/>
        </w:rPr>
      </w:pPr>
      <w:r w:rsidRPr="00B33806">
        <w:rPr>
          <w:rFonts w:ascii="Arial" w:hAnsi="Arial"/>
          <w:b/>
          <w:bCs/>
          <w:sz w:val="24"/>
          <w:szCs w:val="24"/>
          <w:u w:val="single"/>
        </w:rPr>
        <w:t>Extent of Change</w:t>
      </w:r>
      <w:r w:rsidR="00C252EA" w:rsidRPr="00B33806">
        <w:rPr>
          <w:rFonts w:ascii="Arial" w:hAnsi="Arial"/>
          <w:b/>
          <w:bCs/>
          <w:sz w:val="24"/>
          <w:szCs w:val="24"/>
          <w:u w:val="single"/>
        </w:rPr>
        <w:t>:</w:t>
      </w:r>
    </w:p>
    <w:p w14:paraId="4B35675E" w14:textId="77777777" w:rsidR="0005006C" w:rsidRPr="00B33806" w:rsidRDefault="002D1CC5" w:rsidP="00B33806">
      <w:pPr>
        <w:ind w:left="1080" w:right="936"/>
        <w:jc w:val="both"/>
        <w:rPr>
          <w:rFonts w:ascii="Arial" w:hAnsi="Arial"/>
          <w:sz w:val="24"/>
          <w:szCs w:val="24"/>
        </w:rPr>
      </w:pPr>
      <w:r w:rsidRPr="00B33806">
        <w:rPr>
          <w:rFonts w:ascii="Arial" w:hAnsi="Arial"/>
          <w:sz w:val="24"/>
          <w:szCs w:val="24"/>
        </w:rPr>
        <w:t xml:space="preserve">The </w:t>
      </w:r>
      <w:r w:rsidR="00BE0BF6">
        <w:rPr>
          <w:rFonts w:ascii="Arial" w:hAnsi="Arial"/>
          <w:sz w:val="24"/>
          <w:szCs w:val="24"/>
        </w:rPr>
        <w:t>equipment u</w:t>
      </w:r>
      <w:r w:rsidR="00495F7F" w:rsidRPr="00B33806">
        <w:rPr>
          <w:rFonts w:ascii="Arial" w:hAnsi="Arial" w:cs="Arial"/>
          <w:sz w:val="24"/>
          <w:szCs w:val="24"/>
        </w:rPr>
        <w:t>sed to apply glass slurry prior to high temperature cure was</w:t>
      </w:r>
      <w:r w:rsidR="00AE5BE7">
        <w:rPr>
          <w:rFonts w:ascii="Arial" w:hAnsi="Arial" w:cs="Arial"/>
          <w:sz w:val="24"/>
          <w:szCs w:val="24"/>
        </w:rPr>
        <w:t xml:space="preserve"> upgraded to improve repeatability and consistency</w:t>
      </w:r>
      <w:r w:rsidR="00495F7F" w:rsidRPr="00B33806">
        <w:rPr>
          <w:rFonts w:ascii="Arial" w:hAnsi="Arial" w:cs="Arial"/>
          <w:sz w:val="24"/>
          <w:szCs w:val="24"/>
        </w:rPr>
        <w:t xml:space="preserve">. In addition, enhancements to the wafer process </w:t>
      </w:r>
      <w:r w:rsidR="00BE0BF6">
        <w:rPr>
          <w:rFonts w:ascii="Arial" w:hAnsi="Arial" w:cs="Arial"/>
          <w:sz w:val="24"/>
          <w:szCs w:val="24"/>
        </w:rPr>
        <w:t xml:space="preserve">were implemented, </w:t>
      </w:r>
      <w:r w:rsidR="00495F7F" w:rsidRPr="00B33806">
        <w:rPr>
          <w:rFonts w:ascii="Arial" w:hAnsi="Arial" w:cs="Arial"/>
          <w:sz w:val="24"/>
          <w:szCs w:val="24"/>
        </w:rPr>
        <w:t>seeking to optimize forward voltage and reverse characteristics (switching</w:t>
      </w:r>
      <w:r w:rsidR="00AE5BE7">
        <w:rPr>
          <w:rFonts w:ascii="Arial" w:hAnsi="Arial" w:cs="Arial"/>
          <w:sz w:val="24"/>
          <w:szCs w:val="24"/>
        </w:rPr>
        <w:t xml:space="preserve"> and leakage)</w:t>
      </w:r>
      <w:r w:rsidR="00495F7F" w:rsidRPr="00B33806">
        <w:rPr>
          <w:rFonts w:ascii="Arial" w:hAnsi="Arial" w:cs="Arial"/>
          <w:sz w:val="24"/>
          <w:szCs w:val="24"/>
        </w:rPr>
        <w:t>.</w:t>
      </w:r>
    </w:p>
    <w:p w14:paraId="5ACB6075" w14:textId="77777777" w:rsidR="00DE0EB6" w:rsidRPr="00B33806" w:rsidRDefault="00DE0EB6" w:rsidP="00B33806">
      <w:pPr>
        <w:ind w:left="1080" w:right="936"/>
        <w:jc w:val="both"/>
        <w:rPr>
          <w:rFonts w:ascii="Arial" w:hAnsi="Arial"/>
          <w:sz w:val="24"/>
          <w:szCs w:val="24"/>
        </w:rPr>
      </w:pPr>
    </w:p>
    <w:p w14:paraId="47404424" w14:textId="77777777" w:rsidR="005B3027" w:rsidRPr="00B33806" w:rsidRDefault="005B3027" w:rsidP="00B33806">
      <w:pPr>
        <w:ind w:left="1080" w:right="936"/>
        <w:jc w:val="both"/>
        <w:rPr>
          <w:rFonts w:ascii="Arial" w:hAnsi="Arial"/>
          <w:sz w:val="24"/>
          <w:szCs w:val="24"/>
        </w:rPr>
      </w:pPr>
    </w:p>
    <w:p w14:paraId="0782F88A" w14:textId="77777777" w:rsidR="00C252EA" w:rsidRPr="00B33806" w:rsidRDefault="00C252EA" w:rsidP="00B33806">
      <w:pPr>
        <w:spacing w:after="40"/>
        <w:ind w:left="1080" w:right="936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B33806">
        <w:rPr>
          <w:rFonts w:ascii="Arial" w:hAnsi="Arial" w:cs="Arial"/>
          <w:b/>
          <w:bCs/>
          <w:sz w:val="24"/>
          <w:szCs w:val="24"/>
          <w:u w:val="single"/>
        </w:rPr>
        <w:t>Effect of Change:</w:t>
      </w:r>
    </w:p>
    <w:p w14:paraId="46858958" w14:textId="77777777" w:rsidR="00F5549B" w:rsidRPr="00B33806" w:rsidRDefault="00F5549B" w:rsidP="00B33806">
      <w:pPr>
        <w:spacing w:after="40"/>
        <w:ind w:left="360" w:right="936" w:firstLine="7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B33806">
        <w:rPr>
          <w:rFonts w:ascii="Arial" w:hAnsi="Arial" w:cs="Arial"/>
          <w:sz w:val="24"/>
          <w:szCs w:val="24"/>
        </w:rPr>
        <w:t>This change does not affect the form, fit, or function of the device.</w:t>
      </w:r>
    </w:p>
    <w:p w14:paraId="0BF2CC30" w14:textId="77777777" w:rsidR="00F5549B" w:rsidRPr="00B33806" w:rsidRDefault="00F5549B" w:rsidP="00B33806">
      <w:pPr>
        <w:ind w:left="1080" w:right="936"/>
        <w:jc w:val="both"/>
        <w:rPr>
          <w:rFonts w:ascii="Arial" w:hAnsi="Arial" w:cs="Arial"/>
          <w:sz w:val="24"/>
          <w:szCs w:val="24"/>
        </w:rPr>
      </w:pPr>
    </w:p>
    <w:p w14:paraId="7C901165" w14:textId="77777777" w:rsidR="0005006C" w:rsidRPr="00B33806" w:rsidRDefault="0005006C" w:rsidP="00B33806">
      <w:pPr>
        <w:ind w:right="936"/>
        <w:jc w:val="both"/>
        <w:rPr>
          <w:rFonts w:ascii="Arial" w:hAnsi="Arial" w:cs="Arial"/>
          <w:sz w:val="24"/>
          <w:szCs w:val="24"/>
        </w:rPr>
      </w:pPr>
    </w:p>
    <w:p w14:paraId="3DF8463A" w14:textId="77777777" w:rsidR="00C252EA" w:rsidRPr="00B33806" w:rsidRDefault="00C252EA" w:rsidP="00B33806">
      <w:pPr>
        <w:spacing w:after="40"/>
        <w:ind w:left="1080" w:right="936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B33806">
        <w:rPr>
          <w:rFonts w:ascii="Arial" w:hAnsi="Arial" w:cs="Arial"/>
          <w:b/>
          <w:bCs/>
          <w:sz w:val="24"/>
          <w:szCs w:val="24"/>
          <w:u w:val="single"/>
        </w:rPr>
        <w:t>Effective Date of Change:</w:t>
      </w:r>
    </w:p>
    <w:p w14:paraId="78AB06B1" w14:textId="77777777" w:rsidR="0005006C" w:rsidRPr="00B33806" w:rsidRDefault="002D1CC5" w:rsidP="00B33806">
      <w:pPr>
        <w:ind w:left="360" w:firstLine="720"/>
        <w:jc w:val="both"/>
        <w:rPr>
          <w:rFonts w:ascii="Arial" w:hAnsi="Arial" w:cs="Arial"/>
          <w:sz w:val="24"/>
          <w:szCs w:val="24"/>
        </w:rPr>
      </w:pPr>
      <w:r w:rsidRPr="00B33806">
        <w:rPr>
          <w:rFonts w:ascii="Arial" w:hAnsi="Arial" w:cs="Arial"/>
          <w:sz w:val="24"/>
          <w:szCs w:val="24"/>
        </w:rPr>
        <w:t>May 15, 2020</w:t>
      </w:r>
    </w:p>
    <w:p w14:paraId="542CBC85" w14:textId="77777777" w:rsidR="002D1CC5" w:rsidRPr="00B33806" w:rsidRDefault="002D1CC5" w:rsidP="00B33806">
      <w:pPr>
        <w:ind w:left="360" w:firstLine="720"/>
        <w:jc w:val="both"/>
        <w:rPr>
          <w:rFonts w:ascii="Arial" w:hAnsi="Arial" w:cs="Arial"/>
          <w:sz w:val="24"/>
          <w:szCs w:val="24"/>
        </w:rPr>
      </w:pPr>
    </w:p>
    <w:p w14:paraId="53491CD9" w14:textId="77777777" w:rsidR="005B3027" w:rsidRPr="00B33806" w:rsidRDefault="005B3027" w:rsidP="00B33806">
      <w:pPr>
        <w:ind w:left="360" w:firstLine="720"/>
        <w:jc w:val="both"/>
        <w:rPr>
          <w:rFonts w:ascii="Arial" w:hAnsi="Arial" w:cs="Arial"/>
          <w:sz w:val="24"/>
          <w:szCs w:val="24"/>
        </w:rPr>
      </w:pPr>
    </w:p>
    <w:p w14:paraId="36E48534" w14:textId="77777777" w:rsidR="00C252EA" w:rsidRPr="00B33806" w:rsidRDefault="00C252EA" w:rsidP="00B33806">
      <w:pPr>
        <w:spacing w:after="40"/>
        <w:ind w:left="1080" w:right="936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B33806">
        <w:rPr>
          <w:rFonts w:ascii="Arial" w:hAnsi="Arial" w:cs="Arial"/>
          <w:b/>
          <w:bCs/>
          <w:sz w:val="24"/>
          <w:szCs w:val="24"/>
          <w:u w:val="single"/>
        </w:rPr>
        <w:t>Sample Availability:</w:t>
      </w:r>
    </w:p>
    <w:p w14:paraId="77D6E398" w14:textId="77777777" w:rsidR="00D27662" w:rsidRPr="00B33806" w:rsidRDefault="00D27662" w:rsidP="00B33806">
      <w:pPr>
        <w:pStyle w:val="BlockText"/>
        <w:jc w:val="both"/>
        <w:outlineLvl w:val="0"/>
        <w:rPr>
          <w:rFonts w:cs="Arial"/>
          <w:sz w:val="24"/>
          <w:szCs w:val="24"/>
        </w:rPr>
      </w:pPr>
      <w:r w:rsidRPr="00B33806">
        <w:rPr>
          <w:rFonts w:cs="Arial"/>
          <w:sz w:val="24"/>
          <w:szCs w:val="24"/>
        </w:rPr>
        <w:t xml:space="preserve">Please contact </w:t>
      </w:r>
      <w:r w:rsidR="00BE0BF6">
        <w:rPr>
          <w:rFonts w:cs="Arial"/>
          <w:sz w:val="24"/>
          <w:szCs w:val="24"/>
        </w:rPr>
        <w:t>your s</w:t>
      </w:r>
      <w:r w:rsidRPr="00B33806">
        <w:rPr>
          <w:rFonts w:cs="Arial"/>
          <w:sz w:val="24"/>
          <w:szCs w:val="24"/>
        </w:rPr>
        <w:t xml:space="preserve">alesperson or </w:t>
      </w:r>
      <w:r w:rsidR="00BE0BF6">
        <w:rPr>
          <w:rFonts w:cs="Arial"/>
          <w:sz w:val="24"/>
          <w:szCs w:val="24"/>
        </w:rPr>
        <w:t>m</w:t>
      </w:r>
      <w:r w:rsidRPr="00B33806">
        <w:rPr>
          <w:rFonts w:cs="Arial"/>
          <w:sz w:val="24"/>
          <w:szCs w:val="24"/>
        </w:rPr>
        <w:t xml:space="preserve">anufacturer’s </w:t>
      </w:r>
      <w:r w:rsidR="00BE0BF6">
        <w:rPr>
          <w:rFonts w:cs="Arial"/>
          <w:sz w:val="24"/>
          <w:szCs w:val="24"/>
        </w:rPr>
        <w:t>r</w:t>
      </w:r>
      <w:r w:rsidRPr="00B33806">
        <w:rPr>
          <w:rFonts w:cs="Arial"/>
          <w:sz w:val="24"/>
          <w:szCs w:val="24"/>
        </w:rPr>
        <w:t>epresentative.</w:t>
      </w:r>
    </w:p>
    <w:p w14:paraId="09E637E8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5FFB7228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4C574F2F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4C859212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3B4187C5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5C025221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6015935A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36C2DBF5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6C7D0DEF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148C720D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6B0029AC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004B9A3C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6F688EE4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193EA948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13F0F8F7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1E8BCBFD" w14:textId="77777777" w:rsidR="0095180B" w:rsidRDefault="0095180B" w:rsidP="005B302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1D5B7C" w14:textId="77777777" w:rsidR="00FD256F" w:rsidRDefault="00FD256F" w:rsidP="0095180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4B9531" w14:textId="77777777" w:rsidR="00B33806" w:rsidRDefault="00B33806" w:rsidP="0095180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A73711" w14:textId="77777777" w:rsidR="00B33806" w:rsidRDefault="005B3027" w:rsidP="0095180B">
      <w:pPr>
        <w:spacing w:after="40"/>
        <w:ind w:left="1080" w:right="936"/>
        <w:outlineLvl w:val="0"/>
        <w:rPr>
          <w:rFonts w:ascii="Arial" w:hAnsi="Arial" w:cs="Arial"/>
          <w:sz w:val="22"/>
          <w:szCs w:val="22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  <w:r w:rsidR="0095180B" w:rsidRPr="0095180B">
        <w:rPr>
          <w:rFonts w:ascii="Arial" w:hAnsi="Arial" w:cs="Arial"/>
          <w:sz w:val="22"/>
          <w:szCs w:val="22"/>
        </w:rPr>
        <w:t xml:space="preserve"> </w:t>
      </w:r>
    </w:p>
    <w:p w14:paraId="2CF85ED8" w14:textId="77777777" w:rsidR="0095180B" w:rsidRDefault="0095180B" w:rsidP="0095180B">
      <w:pPr>
        <w:spacing w:after="40"/>
        <w:ind w:left="1080" w:right="936"/>
        <w:outlineLvl w:val="0"/>
        <w:rPr>
          <w:rFonts w:ascii="Arial" w:hAnsi="Arial" w:cs="Arial"/>
          <w:sz w:val="22"/>
          <w:szCs w:val="22"/>
        </w:rPr>
      </w:pPr>
      <w:r w:rsidRPr="005A1EC4">
        <w:rPr>
          <w:rFonts w:ascii="Arial" w:hAnsi="Arial" w:cs="Arial"/>
          <w:sz w:val="22"/>
          <w:szCs w:val="22"/>
        </w:rPr>
        <w:t>Standard evaluation and qualifications completed resulting in</w:t>
      </w:r>
      <w:r w:rsidR="00104E7B" w:rsidRPr="00104E7B">
        <w:rPr>
          <w:rFonts w:ascii="Arial" w:hAnsi="Arial" w:cs="Arial"/>
          <w:sz w:val="22"/>
          <w:szCs w:val="22"/>
        </w:rPr>
        <w:t xml:space="preserve"> </w:t>
      </w:r>
      <w:r w:rsidR="00104E7B" w:rsidRPr="005A1EC4">
        <w:rPr>
          <w:rFonts w:ascii="Arial" w:hAnsi="Arial" w:cs="Arial"/>
          <w:sz w:val="22"/>
          <w:szCs w:val="22"/>
        </w:rPr>
        <w:t>no performance differences compared to current product</w:t>
      </w:r>
      <w:r w:rsidR="00104E7B">
        <w:rPr>
          <w:rFonts w:ascii="Arial" w:hAnsi="Arial" w:cs="Arial"/>
          <w:sz w:val="22"/>
          <w:szCs w:val="22"/>
        </w:rPr>
        <w:t xml:space="preserve"> (see tests below).</w:t>
      </w:r>
    </w:p>
    <w:p w14:paraId="4F5B4BE0" w14:textId="77777777" w:rsidR="00B33806" w:rsidRDefault="00B33806" w:rsidP="0095180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7AAE2F" w14:textId="77777777" w:rsidR="005B3027" w:rsidRPr="0095180B" w:rsidRDefault="005B3027" w:rsidP="0095180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-39"/>
        <w:tblW w:w="8327" w:type="dxa"/>
        <w:tblLayout w:type="fixed"/>
        <w:tblLook w:val="04A0" w:firstRow="1" w:lastRow="0" w:firstColumn="1" w:lastColumn="0" w:noHBand="0" w:noVBand="1"/>
      </w:tblPr>
      <w:tblGrid>
        <w:gridCol w:w="285"/>
        <w:gridCol w:w="341"/>
        <w:gridCol w:w="1538"/>
        <w:gridCol w:w="2479"/>
        <w:gridCol w:w="572"/>
        <w:gridCol w:w="1048"/>
        <w:gridCol w:w="2064"/>
      </w:tblGrid>
      <w:tr w:rsidR="0095180B" w:rsidRPr="005A223E" w14:paraId="133D8C75" w14:textId="77777777" w:rsidTr="00141F7B">
        <w:trPr>
          <w:trHeight w:val="273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92ACD" w14:textId="77777777" w:rsidR="0095180B" w:rsidRPr="005A223E" w:rsidRDefault="0095180B" w:rsidP="00141F7B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B957" w14:textId="77777777" w:rsidR="0095180B" w:rsidRPr="005A223E" w:rsidRDefault="0095180B" w:rsidP="00141F7B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2014B" w14:textId="77777777" w:rsidR="0095180B" w:rsidRPr="005A223E" w:rsidRDefault="0095180B" w:rsidP="00141F7B">
            <w:pPr>
              <w:jc w:val="right"/>
              <w:rPr>
                <w:rFonts w:ascii="Calibri" w:hAnsi="Calibri" w:cs="Calibri"/>
              </w:rPr>
            </w:pPr>
            <w:r w:rsidRPr="005A223E">
              <w:rPr>
                <w:rFonts w:ascii="Calibri" w:hAnsi="Calibri" w:cs="Calibri"/>
              </w:rPr>
              <w:t>P/N: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8670B" w14:textId="77777777" w:rsidR="0095180B" w:rsidRPr="005A223E" w:rsidRDefault="0095180B" w:rsidP="00141F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CPR5U-040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6182A" w14:textId="77777777" w:rsidR="0095180B" w:rsidRPr="005A223E" w:rsidRDefault="0095180B" w:rsidP="00141F7B">
            <w:pPr>
              <w:rPr>
                <w:rFonts w:ascii="Calibri" w:hAnsi="Calibri" w:cs="Calibri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72C" w14:textId="77777777" w:rsidR="0095180B" w:rsidRPr="005A223E" w:rsidRDefault="0095180B" w:rsidP="00141F7B">
            <w:pPr>
              <w:jc w:val="right"/>
              <w:rPr>
                <w:rFonts w:ascii="Calibri" w:hAnsi="Calibri" w:cs="Calibri"/>
              </w:rPr>
            </w:pPr>
            <w:r w:rsidRPr="005A223E">
              <w:rPr>
                <w:rFonts w:ascii="Calibri" w:hAnsi="Calibri" w:cs="Calibri"/>
              </w:rPr>
              <w:t>Package: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C2CC0" w14:textId="77777777" w:rsidR="0095180B" w:rsidRPr="005A223E" w:rsidRDefault="0095180B" w:rsidP="00141F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GPR-4AM</w:t>
            </w:r>
          </w:p>
        </w:tc>
      </w:tr>
      <w:tr w:rsidR="0095180B" w:rsidRPr="005A223E" w14:paraId="378461F8" w14:textId="77777777" w:rsidTr="00141F7B">
        <w:trPr>
          <w:trHeight w:val="22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1BA7" w14:textId="77777777" w:rsidR="0095180B" w:rsidRPr="005A223E" w:rsidRDefault="0095180B" w:rsidP="00141F7B">
            <w:pPr>
              <w:rPr>
                <w:rFonts w:ascii="Calibri" w:hAnsi="Calibri" w:cs="Calibri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A384" w14:textId="77777777" w:rsidR="0095180B" w:rsidRPr="005A223E" w:rsidRDefault="0095180B" w:rsidP="00141F7B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F498" w14:textId="77777777" w:rsidR="0095180B" w:rsidRPr="005A223E" w:rsidRDefault="0095180B" w:rsidP="00141F7B">
            <w:pPr>
              <w:jc w:val="center"/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2596" w14:textId="77777777" w:rsidR="0095180B" w:rsidRPr="005A223E" w:rsidRDefault="0095180B" w:rsidP="00141F7B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ED870" w14:textId="77777777" w:rsidR="0095180B" w:rsidRPr="005A223E" w:rsidRDefault="0095180B" w:rsidP="00141F7B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21E94" w14:textId="77777777" w:rsidR="0095180B" w:rsidRPr="005A223E" w:rsidRDefault="0095180B" w:rsidP="00141F7B">
            <w:pPr>
              <w:jc w:val="center"/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BB7BB" w14:textId="77777777" w:rsidR="0095180B" w:rsidRPr="005A223E" w:rsidRDefault="0095180B" w:rsidP="00141F7B"/>
        </w:tc>
      </w:tr>
      <w:tr w:rsidR="0095180B" w:rsidRPr="005A223E" w14:paraId="1894E18F" w14:textId="77777777" w:rsidTr="00141F7B">
        <w:trPr>
          <w:trHeight w:val="789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CAF3A30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223E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582E23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223E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EEC15D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223E">
              <w:rPr>
                <w:rFonts w:ascii="Calibri" w:hAnsi="Calibri" w:cs="Calibri"/>
                <w:b/>
                <w:bCs/>
              </w:rPr>
              <w:t>Conditions</w:t>
            </w:r>
            <w:r w:rsidRPr="005A223E">
              <w:rPr>
                <w:rFonts w:ascii="Calibri" w:hAnsi="Calibri" w:cs="Calibri"/>
                <w:b/>
                <w:bCs/>
              </w:rPr>
              <w:br/>
            </w:r>
            <w:r w:rsidRPr="005A223E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7D0604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223E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5CC39D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223E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C910C4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223E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95180B" w:rsidRPr="005A223E" w14:paraId="6E1EE5F4" w14:textId="77777777" w:rsidTr="00141F7B">
        <w:trPr>
          <w:trHeight w:val="327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E0D3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223E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C922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95180B" w:rsidRPr="005A223E" w14:paraId="58ECAB59" w14:textId="77777777" w:rsidTr="00141F7B">
        <w:trPr>
          <w:trHeight w:val="743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68C238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</w:rPr>
            </w:pPr>
            <w:r w:rsidRPr="005A223E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AC7E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48EC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55FC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T=125°C, t = 1000 hours</w:t>
            </w:r>
            <w:r w:rsidRPr="005A223E">
              <w:rPr>
                <w:rFonts w:ascii="Calibri" w:hAnsi="Calibri" w:cs="Calibri"/>
                <w:sz w:val="16"/>
                <w:szCs w:val="16"/>
              </w:rPr>
              <w:br/>
              <w:t>Bias Conditions per Device Datasheet</w:t>
            </w:r>
            <w:r w:rsidRPr="005A223E">
              <w:rPr>
                <w:rFonts w:ascii="Calibri" w:hAnsi="Calibri" w:cs="Calibri"/>
                <w:sz w:val="16"/>
                <w:szCs w:val="16"/>
              </w:rPr>
              <w:br/>
            </w: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6CA0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2C49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8"/>
              </w:rPr>
            </w:pPr>
            <w:r w:rsidRPr="005A223E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797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95180B" w:rsidRPr="005A223E" w14:paraId="19855C50" w14:textId="77777777" w:rsidTr="00141F7B">
        <w:trPr>
          <w:trHeight w:val="67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7659F7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</w:rPr>
            </w:pPr>
            <w:r w:rsidRPr="005A223E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0A08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C2AD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Storage Life (HTSL)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44BC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5A223E">
              <w:rPr>
                <w:rFonts w:ascii="Calibri" w:hAnsi="Calibri" w:cs="Calibri"/>
                <w:sz w:val="16"/>
                <w:szCs w:val="16"/>
              </w:rPr>
              <w:br/>
            </w: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>JESD22-A103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AA1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9D29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8"/>
              </w:rPr>
            </w:pPr>
            <w:r w:rsidRPr="005A223E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E9FD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95180B" w:rsidRPr="005A223E" w14:paraId="58744D66" w14:textId="77777777" w:rsidTr="00141F7B">
        <w:trPr>
          <w:trHeight w:val="77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C3334E4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E1C6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45B1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>Thermal Shock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C32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100 cycles, dwell time = 5 min,</w:t>
            </w:r>
          </w:p>
          <w:p w14:paraId="76FB8C48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-65°C to +150°C, max transfer time = 20 sec.</w:t>
            </w:r>
            <w:r w:rsidRPr="005A223E">
              <w:rPr>
                <w:rFonts w:ascii="Calibri" w:hAnsi="Calibri" w:cs="Calibri"/>
                <w:sz w:val="16"/>
                <w:szCs w:val="16"/>
              </w:rPr>
              <w:br/>
            </w: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>JESD22-A106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A95B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E400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8"/>
              </w:rPr>
            </w:pPr>
            <w:r w:rsidRPr="005A223E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829A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95180B" w:rsidRPr="005A223E" w14:paraId="33474DE2" w14:textId="77777777" w:rsidTr="00141F7B">
        <w:trPr>
          <w:trHeight w:val="9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0CA1AC6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D3CD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</w:rPr>
            </w:pPr>
            <w:r w:rsidRPr="005A223E">
              <w:rPr>
                <w:rFonts w:ascii="Calibri" w:hAnsi="Calibri" w:cs="Calibri"/>
              </w:rPr>
              <w:t>D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5050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>Temperature Cycling (TC)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077F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-65°C to +150°C,</w:t>
            </w:r>
          </w:p>
          <w:p w14:paraId="1BF9657C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A223E">
              <w:rPr>
                <w:rFonts w:ascii="Calibri" w:hAnsi="Calibri" w:cs="Calibri"/>
                <w:sz w:val="16"/>
                <w:szCs w:val="16"/>
              </w:rPr>
              <w:t>Tdwell</w:t>
            </w:r>
            <w:proofErr w:type="spellEnd"/>
            <w:r w:rsidRPr="005A223E">
              <w:rPr>
                <w:rFonts w:ascii="Calibri" w:hAnsi="Calibri" w:cs="Calibri"/>
                <w:sz w:val="16"/>
                <w:szCs w:val="16"/>
              </w:rPr>
              <w:t xml:space="preserve"> = 15min, 1000 cycles</w:t>
            </w:r>
          </w:p>
          <w:p w14:paraId="49B7116D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A223E">
              <w:rPr>
                <w:rFonts w:ascii="Calibri" w:hAnsi="Calibri" w:cs="Calibri"/>
                <w:b/>
                <w:sz w:val="16"/>
                <w:szCs w:val="16"/>
              </w:rPr>
              <w:t>MIL-STD-750 TM1051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521A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5834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8"/>
              </w:rPr>
            </w:pPr>
            <w:r w:rsidRPr="005A223E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BBE6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95180B" w:rsidRPr="005A223E" w14:paraId="380DED75" w14:textId="77777777" w:rsidTr="00141F7B">
        <w:trPr>
          <w:trHeight w:val="9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1839D15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217F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CA13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>Resistance To Solder Shock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F294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Pb free: T =270°C ±5°C, Dwell=7s +2/-0</w:t>
            </w:r>
            <w:r w:rsidRPr="005A223E">
              <w:rPr>
                <w:rFonts w:ascii="Calibri" w:hAnsi="Calibri" w:cs="Calibri"/>
                <w:sz w:val="16"/>
                <w:szCs w:val="16"/>
              </w:rPr>
              <w:br/>
              <w:t xml:space="preserve">Thru-hole devices submerge to case, </w:t>
            </w: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>JESD22-B106</w:t>
            </w:r>
          </w:p>
          <w:p w14:paraId="7B29C9AA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7DEA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36ED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8"/>
              </w:rPr>
            </w:pPr>
            <w:r w:rsidRPr="005A223E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EF6D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5/5</w:t>
            </w:r>
          </w:p>
        </w:tc>
      </w:tr>
      <w:tr w:rsidR="0095180B" w:rsidRPr="005A223E" w14:paraId="7319AA02" w14:textId="77777777" w:rsidTr="00141F7B">
        <w:trPr>
          <w:trHeight w:val="9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5B7893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556E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0F04" w14:textId="77777777" w:rsidR="0095180B" w:rsidRPr="005A223E" w:rsidRDefault="0095180B" w:rsidP="00141F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Solderability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CCD1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Steam Age: T=93°C +3/-5°C.</w:t>
            </w:r>
            <w:r w:rsidRPr="005A223E">
              <w:rPr>
                <w:rFonts w:ascii="Calibri" w:hAnsi="Calibri" w:cs="Calibri"/>
                <w:sz w:val="16"/>
                <w:szCs w:val="16"/>
              </w:rPr>
              <w:br/>
              <w:t>Pb-free Dip: T=245°C +/-5°C,</w:t>
            </w:r>
            <w:r w:rsidRPr="005A223E">
              <w:rPr>
                <w:rFonts w:ascii="Calibri" w:hAnsi="Calibri" w:cs="Calibri"/>
                <w:sz w:val="16"/>
                <w:szCs w:val="16"/>
              </w:rPr>
              <w:br/>
              <w:t>Dwell time = 5+/-0.5sec</w:t>
            </w:r>
            <w:r w:rsidRPr="005A223E">
              <w:rPr>
                <w:rFonts w:ascii="Calibri" w:hAnsi="Calibri" w:cs="Calibri"/>
                <w:sz w:val="16"/>
                <w:szCs w:val="16"/>
              </w:rPr>
              <w:br/>
            </w:r>
            <w:r w:rsidRPr="005A223E">
              <w:rPr>
                <w:rFonts w:ascii="Calibri" w:hAnsi="Calibri" w:cs="Calibri"/>
                <w:b/>
                <w:bCs/>
                <w:sz w:val="16"/>
                <w:szCs w:val="16"/>
              </w:rPr>
              <w:t>MIL-STD-750 TM2026</w:t>
            </w:r>
          </w:p>
          <w:p w14:paraId="746548E3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19EF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CE33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8"/>
              </w:rPr>
            </w:pPr>
            <w:r w:rsidRPr="005A223E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556A" w14:textId="77777777" w:rsidR="0095180B" w:rsidRPr="005A223E" w:rsidRDefault="0095180B" w:rsidP="00141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223E">
              <w:rPr>
                <w:rFonts w:ascii="Calibri" w:hAnsi="Calibri" w:cs="Calibri"/>
                <w:sz w:val="16"/>
                <w:szCs w:val="16"/>
              </w:rPr>
              <w:t>15/15</w:t>
            </w:r>
          </w:p>
        </w:tc>
      </w:tr>
    </w:tbl>
    <w:p w14:paraId="3A9BFB26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0CFEB45A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2259A87B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64A12A9B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15EC77CB" w14:textId="77777777" w:rsidR="009B5D25" w:rsidRDefault="009B5D25">
      <w:pPr>
        <w:rPr>
          <w:rFonts w:ascii="Arial" w:hAnsi="Arial" w:cs="Arial"/>
          <w:bCs/>
          <w:sz w:val="22"/>
          <w:szCs w:val="22"/>
        </w:rPr>
      </w:pPr>
    </w:p>
    <w:p w14:paraId="2BBC6769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75D7F79D" w14:textId="77777777" w:rsidR="00FD256F" w:rsidRDefault="00FD256F">
      <w:pPr>
        <w:rPr>
          <w:rFonts w:ascii="Arial" w:hAnsi="Arial" w:cs="Arial"/>
          <w:bCs/>
          <w:sz w:val="22"/>
          <w:szCs w:val="22"/>
        </w:rPr>
      </w:pPr>
    </w:p>
    <w:p w14:paraId="79434562" w14:textId="77777777" w:rsidR="00FD256F" w:rsidRDefault="00FD256F">
      <w:pPr>
        <w:rPr>
          <w:rFonts w:ascii="Arial" w:hAnsi="Arial" w:cs="Arial"/>
          <w:bCs/>
          <w:sz w:val="22"/>
          <w:szCs w:val="22"/>
        </w:rPr>
      </w:pPr>
    </w:p>
    <w:p w14:paraId="24C9AA7A" w14:textId="77777777" w:rsidR="00FD256F" w:rsidRDefault="00FD256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79DD71F" w14:textId="77777777" w:rsidR="00FD256F" w:rsidRDefault="00FD256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D52A112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5F9FD17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26F351E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F55B0F7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572D152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0D4E53F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26B6D0B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E42F998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A6DF158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6D08E7E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9F7433A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DDADE8A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0981F23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6EF54BD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6929407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045A150" w14:textId="77777777" w:rsidR="00104E7B" w:rsidRDefault="00104E7B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A4A72EB" w14:textId="77777777" w:rsidR="00B33806" w:rsidRDefault="00B33806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527A10D" w14:textId="77777777" w:rsidR="00B33806" w:rsidRDefault="00B33806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C5A36FB" w14:textId="77777777" w:rsidR="00B33806" w:rsidRDefault="00B33806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BFC0B0F" w14:textId="77777777" w:rsidR="00B33806" w:rsidRDefault="00B33806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F410A0E" w14:textId="77777777" w:rsidR="00B33806" w:rsidRDefault="00B33806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D2B7921" w14:textId="77777777" w:rsidR="00B33806" w:rsidRDefault="00B33806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7D2A9C0" w14:textId="77777777" w:rsidR="00B33806" w:rsidRDefault="00B33806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7C6FE85" w14:textId="77777777" w:rsidR="00B33806" w:rsidRDefault="00B33806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81F1102" w14:textId="77777777" w:rsidR="00B33806" w:rsidRDefault="00B33806" w:rsidP="00B33806">
      <w:pPr>
        <w:spacing w:after="40"/>
        <w:ind w:left="1080" w:right="288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ADC214A" w14:textId="77777777" w:rsidR="00936427" w:rsidRPr="00B56384" w:rsidRDefault="00104E7B" w:rsidP="00B33806">
      <w:pPr>
        <w:spacing w:after="40"/>
        <w:ind w:left="1080" w:right="288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per JEDEC</w:t>
      </w:r>
      <w:r w:rsidR="00B56384" w:rsidRPr="00B56384">
        <w:rPr>
          <w:rFonts w:ascii="Arial" w:hAnsi="Arial" w:cs="Arial"/>
          <w:bCs/>
          <w:sz w:val="22"/>
          <w:szCs w:val="22"/>
        </w:rPr>
        <w:t xml:space="preserve">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="00B56384"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 w:rsidR="00B56384"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="00B56384"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 w:rsidR="00B56384">
        <w:rPr>
          <w:rFonts w:ascii="Arial" w:hAnsi="Arial" w:cs="Arial"/>
          <w:bCs/>
          <w:sz w:val="22"/>
          <w:szCs w:val="22"/>
        </w:rPr>
        <w:t>a</w:t>
      </w:r>
      <w:r w:rsidR="00B56384"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="00B56384"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="00B56384"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59F5EA20" w14:textId="77777777" w:rsidR="00936427" w:rsidRDefault="00936427" w:rsidP="00B33806">
      <w:pPr>
        <w:spacing w:after="40"/>
        <w:ind w:left="1080" w:right="288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A23AA16" w14:textId="77777777" w:rsidR="00936427" w:rsidRDefault="007D1EC7" w:rsidP="00B33806">
      <w:pPr>
        <w:spacing w:after="40"/>
        <w:ind w:left="1080" w:right="288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5540ED60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3A2E59C4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36DF5E7B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3238700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D2F4779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1F3687E6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0A08584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8EBDA99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19D5E93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E5FB692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D895488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0B2E1E70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03527619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CE79970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687CA8C4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1163635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C2924AE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4BF62F6F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3E8695AF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AB24716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6170F356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4534191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527E8608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245E13C0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482870DC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AE8C024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CE50" w14:textId="77777777" w:rsidR="00535051" w:rsidRDefault="00535051">
      <w:r>
        <w:separator/>
      </w:r>
    </w:p>
  </w:endnote>
  <w:endnote w:type="continuationSeparator" w:id="0">
    <w:p w14:paraId="05D21319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BCE7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50EDA436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E0BF6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E0BF6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47C19199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ED18" w14:textId="77777777" w:rsidR="00535051" w:rsidRDefault="00535051">
      <w:r>
        <w:separator/>
      </w:r>
    </w:p>
  </w:footnote>
  <w:footnote w:type="continuationSeparator" w:id="0">
    <w:p w14:paraId="3396D248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0487" w14:textId="560654CE" w:rsidR="005D67B5" w:rsidRDefault="001473A4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3D62FC2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17A50B73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E2548D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185</w:t>
                </w:r>
              </w:p>
              <w:p w14:paraId="31B4F5F9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064D17F8" w14:textId="77777777" w:rsidR="00E2548D" w:rsidRPr="00E2548D" w:rsidRDefault="00E2548D" w:rsidP="00E2548D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2548D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May </w:t>
                </w:r>
                <w:r w:rsidR="00BE0BF6">
                  <w:rPr>
                    <w:rFonts w:ascii="Arial" w:hAnsi="Arial" w:cs="Arial"/>
                    <w:b/>
                    <w:sz w:val="28"/>
                    <w:szCs w:val="28"/>
                  </w:rPr>
                  <w:t>15</w:t>
                </w:r>
                <w:r w:rsidRPr="00E2548D">
                  <w:rPr>
                    <w:rFonts w:ascii="Arial" w:hAnsi="Arial" w:cs="Arial"/>
                    <w:b/>
                    <w:sz w:val="28"/>
                    <w:szCs w:val="28"/>
                  </w:rPr>
                  <w:t>, 2020</w:t>
                </w:r>
              </w:p>
              <w:p w14:paraId="569D35A5" w14:textId="77777777" w:rsidR="00BA3355" w:rsidRPr="00E77548" w:rsidRDefault="00BA3355" w:rsidP="00BA3355">
                <w:pPr>
                  <w:jc w:val="center"/>
                </w:pPr>
              </w:p>
              <w:p w14:paraId="681FEFC1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4BF03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67209099" w14:textId="77777777" w:rsidR="005D67B5" w:rsidRPr="00D83B79" w:rsidRDefault="001473A4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67582A73" w14:textId="77777777" w:rsidR="005D67B5" w:rsidRDefault="001473A4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40928"/>
    <w:rsid w:val="0005006C"/>
    <w:rsid w:val="0006582E"/>
    <w:rsid w:val="00082E32"/>
    <w:rsid w:val="000910AC"/>
    <w:rsid w:val="000A4978"/>
    <w:rsid w:val="000B2D65"/>
    <w:rsid w:val="000C4495"/>
    <w:rsid w:val="000F00A8"/>
    <w:rsid w:val="00104E7B"/>
    <w:rsid w:val="00116622"/>
    <w:rsid w:val="00144FDB"/>
    <w:rsid w:val="001473A4"/>
    <w:rsid w:val="00155A51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D1CC5"/>
    <w:rsid w:val="002E753F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939AE"/>
    <w:rsid w:val="00495F7F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B3027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180B"/>
    <w:rsid w:val="00954B4A"/>
    <w:rsid w:val="00981D61"/>
    <w:rsid w:val="009873F0"/>
    <w:rsid w:val="00990407"/>
    <w:rsid w:val="009A0429"/>
    <w:rsid w:val="009B070C"/>
    <w:rsid w:val="009B18F4"/>
    <w:rsid w:val="009B5D25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AE5BE7"/>
    <w:rsid w:val="00B05B4A"/>
    <w:rsid w:val="00B06759"/>
    <w:rsid w:val="00B33806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BE0BF6"/>
    <w:rsid w:val="00C003A8"/>
    <w:rsid w:val="00C252EA"/>
    <w:rsid w:val="00C82B7C"/>
    <w:rsid w:val="00CA1691"/>
    <w:rsid w:val="00CA68BE"/>
    <w:rsid w:val="00D20343"/>
    <w:rsid w:val="00D27662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E0EB6"/>
    <w:rsid w:val="00DF3BF6"/>
    <w:rsid w:val="00E138D4"/>
    <w:rsid w:val="00E154CC"/>
    <w:rsid w:val="00E2548D"/>
    <w:rsid w:val="00E440F8"/>
    <w:rsid w:val="00E50F08"/>
    <w:rsid w:val="00EA22C4"/>
    <w:rsid w:val="00EB273A"/>
    <w:rsid w:val="00EC43D4"/>
    <w:rsid w:val="00ED2438"/>
    <w:rsid w:val="00EE15FA"/>
    <w:rsid w:val="00EE2FFB"/>
    <w:rsid w:val="00EF3F39"/>
    <w:rsid w:val="00F05A68"/>
    <w:rsid w:val="00F11CF0"/>
    <w:rsid w:val="00F26907"/>
    <w:rsid w:val="00F42A3D"/>
    <w:rsid w:val="00F5549B"/>
    <w:rsid w:val="00F62ADB"/>
    <w:rsid w:val="00F646AF"/>
    <w:rsid w:val="00F64EB1"/>
    <w:rsid w:val="00F74803"/>
    <w:rsid w:val="00F75F40"/>
    <w:rsid w:val="00FA7147"/>
    <w:rsid w:val="00FC382F"/>
    <w:rsid w:val="00FC430E"/>
    <w:rsid w:val="00FD256F"/>
    <w:rsid w:val="00FD7754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01C5AD2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5C853-C1D4-45A9-A3E2-0DB0073F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44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2154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10</cp:revision>
  <cp:lastPrinted>2023-06-02T17:35:00Z</cp:lastPrinted>
  <dcterms:created xsi:type="dcterms:W3CDTF">2016-07-29T13:55:00Z</dcterms:created>
  <dcterms:modified xsi:type="dcterms:W3CDTF">2023-06-02T17:35:00Z</dcterms:modified>
</cp:coreProperties>
</file>