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36CE" w14:textId="42F4A50C" w:rsidR="009B1502" w:rsidRDefault="009B1502" w:rsidP="00C252EA">
      <w:pPr>
        <w:pStyle w:val="Title"/>
        <w:ind w:right="18"/>
      </w:pPr>
    </w:p>
    <w:p w14:paraId="32113EC6" w14:textId="77777777" w:rsidR="00C252EA" w:rsidRPr="00E21F41" w:rsidRDefault="00AA5F93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015E6A3C">
          <v:line id="Line 18" o:spid="_x0000_s1029" style="position:absolute;left:0;text-align:left;z-index:251658240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1E1E2916">
          <v:line id="Line 17" o:spid="_x0000_s1028" style="position:absolute;left:0;text-align:left;z-index:251657216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061AE7B2">
          <v:line id="Line 16" o:spid="_x0000_s1027" style="position:absolute;left:0;text-align:left;flip:x;z-index:251656192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51374735">
          <v:line id="Line 15" o:spid="_x0000_s1026" style="position:absolute;left:0;text-align:left;flip:x;z-index:251655168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5AA205C6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14C46C17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4E736068" w14:textId="77777777" w:rsidR="009B1502" w:rsidRPr="009B1502" w:rsidRDefault="009B1502" w:rsidP="00C252EA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Chip process CP389, N-</w:t>
      </w:r>
      <w:r w:rsidR="00481163">
        <w:rPr>
          <w:rFonts w:ascii="Arial" w:hAnsi="Arial"/>
          <w:bCs/>
          <w:sz w:val="22"/>
          <w:szCs w:val="22"/>
        </w:rPr>
        <w:t>c</w:t>
      </w:r>
      <w:r>
        <w:rPr>
          <w:rFonts w:ascii="Arial" w:hAnsi="Arial"/>
          <w:bCs/>
          <w:sz w:val="22"/>
          <w:szCs w:val="22"/>
        </w:rPr>
        <w:t xml:space="preserve">hannel MOSFETs, wafers and bare </w:t>
      </w:r>
      <w:r w:rsidR="00FC4102">
        <w:rPr>
          <w:rFonts w:ascii="Arial" w:hAnsi="Arial"/>
          <w:bCs/>
          <w:sz w:val="22"/>
          <w:szCs w:val="22"/>
        </w:rPr>
        <w:t>d</w:t>
      </w:r>
      <w:r>
        <w:rPr>
          <w:rFonts w:ascii="Arial" w:hAnsi="Arial"/>
          <w:bCs/>
          <w:sz w:val="22"/>
          <w:szCs w:val="22"/>
        </w:rPr>
        <w:t>ie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</w:p>
    <w:p w14:paraId="3B465C82" w14:textId="77777777" w:rsidR="0005006C" w:rsidRDefault="0005006C" w:rsidP="00CA5B83">
      <w:pPr>
        <w:spacing w:after="40"/>
        <w:ind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1557C231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62C198E8" w14:textId="77777777" w:rsidR="0005006C" w:rsidRDefault="009B1502" w:rsidP="00C252EA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CP389 wafer process </w:t>
      </w:r>
      <w:r w:rsidR="00FC4102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s be</w:t>
      </w:r>
      <w:r w:rsidR="00FC4102">
        <w:rPr>
          <w:rFonts w:ascii="Arial" w:hAnsi="Arial"/>
          <w:sz w:val="22"/>
          <w:szCs w:val="22"/>
        </w:rPr>
        <w:t xml:space="preserve">ing </w:t>
      </w:r>
      <w:r>
        <w:rPr>
          <w:rFonts w:ascii="Arial" w:hAnsi="Arial"/>
          <w:sz w:val="22"/>
          <w:szCs w:val="22"/>
        </w:rPr>
        <w:t xml:space="preserve">replaced </w:t>
      </w:r>
      <w:r w:rsidR="00FC4102">
        <w:rPr>
          <w:rFonts w:ascii="Arial" w:hAnsi="Arial"/>
          <w:sz w:val="22"/>
          <w:szCs w:val="22"/>
        </w:rPr>
        <w:t xml:space="preserve">by </w:t>
      </w:r>
      <w:r>
        <w:rPr>
          <w:rFonts w:ascii="Arial" w:hAnsi="Arial"/>
          <w:sz w:val="22"/>
          <w:szCs w:val="22"/>
        </w:rPr>
        <w:t xml:space="preserve">the CP400 wafer process. See </w:t>
      </w:r>
      <w:r w:rsidR="00FC4102">
        <w:rPr>
          <w:rFonts w:ascii="Arial" w:hAnsi="Arial"/>
          <w:sz w:val="22"/>
          <w:szCs w:val="22"/>
        </w:rPr>
        <w:t>f</w:t>
      </w:r>
      <w:r>
        <w:rPr>
          <w:rFonts w:ascii="Arial" w:hAnsi="Arial"/>
          <w:sz w:val="22"/>
          <w:szCs w:val="22"/>
        </w:rPr>
        <w:t>igures 1 and 2 for details.</w:t>
      </w:r>
    </w:p>
    <w:p w14:paraId="3813E495" w14:textId="77777777" w:rsidR="009B1502" w:rsidRDefault="009B1502" w:rsidP="00CA5B83">
      <w:pPr>
        <w:ind w:right="936"/>
        <w:rPr>
          <w:rFonts w:ascii="Arial" w:hAnsi="Arial"/>
          <w:sz w:val="22"/>
          <w:szCs w:val="22"/>
        </w:rPr>
      </w:pPr>
    </w:p>
    <w:p w14:paraId="6E34FBF9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01B3631E" w14:textId="77777777" w:rsidR="009B1502" w:rsidRPr="009B1502" w:rsidRDefault="009B1502" w:rsidP="009B1502">
      <w:pPr>
        <w:ind w:left="1080" w:right="936"/>
        <w:rPr>
          <w:rFonts w:ascii="Arial" w:hAnsi="Arial"/>
          <w:sz w:val="22"/>
          <w:szCs w:val="22"/>
        </w:rPr>
      </w:pPr>
      <w:r w:rsidRPr="009B1502">
        <w:rPr>
          <w:rFonts w:ascii="Arial" w:hAnsi="Arial"/>
          <w:sz w:val="22"/>
          <w:szCs w:val="22"/>
        </w:rPr>
        <w:t>The CP</w:t>
      </w:r>
      <w:r>
        <w:rPr>
          <w:rFonts w:ascii="Arial" w:hAnsi="Arial"/>
          <w:sz w:val="22"/>
          <w:szCs w:val="22"/>
        </w:rPr>
        <w:t xml:space="preserve">389 </w:t>
      </w:r>
      <w:r w:rsidRPr="009B1502">
        <w:rPr>
          <w:rFonts w:ascii="Arial" w:hAnsi="Arial"/>
          <w:sz w:val="22"/>
          <w:szCs w:val="22"/>
        </w:rPr>
        <w:t xml:space="preserve">wafer process </w:t>
      </w:r>
      <w:r w:rsidR="00481163">
        <w:rPr>
          <w:rFonts w:ascii="Arial" w:hAnsi="Arial"/>
          <w:sz w:val="22"/>
          <w:szCs w:val="22"/>
        </w:rPr>
        <w:t>i</w:t>
      </w:r>
      <w:r w:rsidRPr="009B1502">
        <w:rPr>
          <w:rFonts w:ascii="Arial" w:hAnsi="Arial"/>
          <w:sz w:val="22"/>
          <w:szCs w:val="22"/>
        </w:rPr>
        <w:t>s be</w:t>
      </w:r>
      <w:r w:rsidR="00481163">
        <w:rPr>
          <w:rFonts w:ascii="Arial" w:hAnsi="Arial"/>
          <w:sz w:val="22"/>
          <w:szCs w:val="22"/>
        </w:rPr>
        <w:t>ing</w:t>
      </w:r>
      <w:r w:rsidRPr="009B1502">
        <w:rPr>
          <w:rFonts w:ascii="Arial" w:hAnsi="Arial"/>
          <w:sz w:val="22"/>
          <w:szCs w:val="22"/>
        </w:rPr>
        <w:t xml:space="preserve"> replaced </w:t>
      </w:r>
      <w:r w:rsidR="00FC4102">
        <w:rPr>
          <w:rFonts w:ascii="Arial" w:hAnsi="Arial"/>
          <w:sz w:val="22"/>
          <w:szCs w:val="22"/>
        </w:rPr>
        <w:t xml:space="preserve">by </w:t>
      </w:r>
      <w:r w:rsidRPr="009B1502">
        <w:rPr>
          <w:rFonts w:ascii="Arial" w:hAnsi="Arial"/>
          <w:sz w:val="22"/>
          <w:szCs w:val="22"/>
        </w:rPr>
        <w:t>the CP</w:t>
      </w:r>
      <w:r w:rsidR="00241D6A">
        <w:rPr>
          <w:rFonts w:ascii="Arial" w:hAnsi="Arial"/>
          <w:sz w:val="22"/>
          <w:szCs w:val="22"/>
        </w:rPr>
        <w:t>400</w:t>
      </w:r>
      <w:r w:rsidRPr="009B1502">
        <w:rPr>
          <w:rFonts w:ascii="Arial" w:hAnsi="Arial"/>
          <w:sz w:val="22"/>
          <w:szCs w:val="22"/>
        </w:rPr>
        <w:t xml:space="preserve"> wafer process to enhance the manufacturing process controls and performance. </w:t>
      </w:r>
      <w:r w:rsidR="00F44F51">
        <w:rPr>
          <w:rFonts w:ascii="Arial" w:hAnsi="Arial"/>
          <w:sz w:val="22"/>
          <w:szCs w:val="22"/>
        </w:rPr>
        <w:t xml:space="preserve">This change will help ensure an undisrupted supply of product. </w:t>
      </w:r>
      <w:r w:rsidRPr="009B1502">
        <w:rPr>
          <w:rFonts w:ascii="Arial" w:hAnsi="Arial"/>
          <w:sz w:val="22"/>
          <w:szCs w:val="22"/>
        </w:rPr>
        <w:t>The wafer size has increased from 6 inch to 8 inch</w:t>
      </w:r>
      <w:r w:rsidR="00FC4102">
        <w:rPr>
          <w:rFonts w:ascii="Arial" w:hAnsi="Arial"/>
          <w:sz w:val="22"/>
          <w:szCs w:val="22"/>
        </w:rPr>
        <w:t>es</w:t>
      </w:r>
      <w:r w:rsidRPr="009B1502">
        <w:rPr>
          <w:rFonts w:ascii="Arial" w:hAnsi="Arial"/>
          <w:sz w:val="22"/>
          <w:szCs w:val="22"/>
        </w:rPr>
        <w:t xml:space="preserve"> in order to improve throughput.</w:t>
      </w:r>
    </w:p>
    <w:p w14:paraId="59EE197D" w14:textId="77777777" w:rsidR="009B1502" w:rsidRPr="00E21F41" w:rsidRDefault="009B1502" w:rsidP="009B1502">
      <w:pPr>
        <w:ind w:right="936"/>
        <w:rPr>
          <w:rFonts w:ascii="Arial" w:hAnsi="Arial"/>
          <w:sz w:val="22"/>
          <w:szCs w:val="22"/>
        </w:rPr>
      </w:pPr>
    </w:p>
    <w:p w14:paraId="1E54B4F8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32AF4F6F" w14:textId="77777777" w:rsidR="009B1502" w:rsidRPr="009B1502" w:rsidRDefault="009B1502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FC4102">
        <w:rPr>
          <w:rFonts w:ascii="Arial" w:hAnsi="Arial" w:cs="Arial"/>
          <w:bCs/>
          <w:sz w:val="22"/>
          <w:szCs w:val="22"/>
        </w:rPr>
        <w:t xml:space="preserve">CP400 </w:t>
      </w:r>
      <w:r>
        <w:rPr>
          <w:rFonts w:ascii="Arial" w:hAnsi="Arial" w:cs="Arial"/>
          <w:bCs/>
          <w:sz w:val="22"/>
          <w:szCs w:val="22"/>
        </w:rPr>
        <w:t xml:space="preserve">wafer process meets all electrical specifications </w:t>
      </w:r>
      <w:r w:rsidR="00CA5B83">
        <w:rPr>
          <w:rFonts w:ascii="Arial" w:hAnsi="Arial" w:cs="Arial"/>
          <w:bCs/>
          <w:sz w:val="22"/>
          <w:szCs w:val="22"/>
        </w:rPr>
        <w:t>of the individual devices listed on the following page.</w:t>
      </w:r>
    </w:p>
    <w:p w14:paraId="0A8717CA" w14:textId="77777777" w:rsidR="0005006C" w:rsidRPr="00E21F41" w:rsidRDefault="0005006C" w:rsidP="00CA5B83">
      <w:pPr>
        <w:ind w:right="936"/>
        <w:rPr>
          <w:rFonts w:ascii="Arial" w:hAnsi="Arial" w:cs="Arial"/>
          <w:sz w:val="22"/>
          <w:szCs w:val="22"/>
        </w:rPr>
      </w:pPr>
    </w:p>
    <w:p w14:paraId="7BA85847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p w14:paraId="044F88F8" w14:textId="77777777" w:rsidR="00CA5B83" w:rsidRDefault="00CA5B83" w:rsidP="00CA5B83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7860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269"/>
        <w:gridCol w:w="322"/>
        <w:gridCol w:w="1452"/>
        <w:gridCol w:w="2340"/>
        <w:gridCol w:w="540"/>
        <w:gridCol w:w="990"/>
        <w:gridCol w:w="1947"/>
      </w:tblGrid>
      <w:tr w:rsidR="00CA5B83" w:rsidRPr="00EF54C2" w14:paraId="11E68B71" w14:textId="77777777" w:rsidTr="000A1AA1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6383B" w14:textId="77777777" w:rsidR="00CA5B83" w:rsidRPr="00EF54C2" w:rsidRDefault="00CA5B83" w:rsidP="000A1AA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81ABA" w14:textId="77777777" w:rsidR="00CA5B83" w:rsidRPr="00EF54C2" w:rsidRDefault="00CA5B83" w:rsidP="000A1AA1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655F8" w14:textId="77777777" w:rsidR="00CA5B83" w:rsidRPr="00EF54C2" w:rsidRDefault="00CA5B83" w:rsidP="000A1AA1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P/N: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CE370" w14:textId="77777777" w:rsidR="00CA5B83" w:rsidRPr="00EF54C2" w:rsidRDefault="00CA5B83" w:rsidP="000A1A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CP</w:t>
            </w:r>
            <w:r w:rsidR="00241D6A">
              <w:rPr>
                <w:rFonts w:ascii="Calibri" w:hAnsi="Calibri" w:cs="Calibri"/>
              </w:rPr>
              <w:t>400</w:t>
            </w:r>
            <w:r>
              <w:rPr>
                <w:rFonts w:ascii="Calibri" w:hAnsi="Calibri" w:cs="Calibri"/>
              </w:rPr>
              <w:t xml:space="preserve"> Chip Process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DF915" w14:textId="77777777" w:rsidR="00CA5B83" w:rsidRPr="00EF54C2" w:rsidRDefault="00CA5B83" w:rsidP="000A1AA1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79B7" w14:textId="77777777" w:rsidR="00CA5B83" w:rsidRPr="00EF54C2" w:rsidRDefault="00CA5B83" w:rsidP="000A1AA1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Package: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EF2837" w14:textId="77777777" w:rsidR="00CA5B83" w:rsidRPr="00EF54C2" w:rsidRDefault="00CA5B83" w:rsidP="000A1A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TO-220FP</w:t>
            </w:r>
          </w:p>
        </w:tc>
      </w:tr>
      <w:tr w:rsidR="00CA5B83" w:rsidRPr="00EF54C2" w14:paraId="65889EB0" w14:textId="77777777" w:rsidTr="000A1AA1">
        <w:trPr>
          <w:trHeight w:val="21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03023" w14:textId="77777777" w:rsidR="00CA5B83" w:rsidRPr="00EF54C2" w:rsidRDefault="00CA5B83" w:rsidP="000A1AA1">
            <w:pPr>
              <w:rPr>
                <w:rFonts w:ascii="Calibri" w:hAnsi="Calibri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3907F" w14:textId="77777777" w:rsidR="00CA5B83" w:rsidRPr="00EF54C2" w:rsidRDefault="00CA5B83" w:rsidP="000A1AA1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B338C" w14:textId="77777777" w:rsidR="00CA5B83" w:rsidRPr="00EF54C2" w:rsidRDefault="00CA5B83" w:rsidP="000A1AA1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572C8" w14:textId="77777777" w:rsidR="00CA5B83" w:rsidRPr="00EF54C2" w:rsidRDefault="00CA5B83" w:rsidP="000A1AA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10BF1" w14:textId="77777777" w:rsidR="00CA5B83" w:rsidRPr="00EF54C2" w:rsidRDefault="00CA5B83" w:rsidP="000A1AA1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3F99C" w14:textId="77777777" w:rsidR="00CA5B83" w:rsidRPr="00EF54C2" w:rsidRDefault="00CA5B83" w:rsidP="000A1AA1">
            <w:pPr>
              <w:jc w:val="center"/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BC671" w14:textId="77777777" w:rsidR="00CA5B83" w:rsidRPr="00EF54C2" w:rsidRDefault="00CA5B83" w:rsidP="000A1AA1"/>
        </w:tc>
      </w:tr>
      <w:tr w:rsidR="00CA5B83" w:rsidRPr="00EF54C2" w14:paraId="1FD05BF3" w14:textId="77777777" w:rsidTr="000A1AA1">
        <w:trPr>
          <w:trHeight w:val="7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453CA446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76DF35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5DBC8F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Conditions</w:t>
            </w:r>
            <w:r w:rsidRPr="00EF54C2">
              <w:rPr>
                <w:rFonts w:ascii="Calibri" w:hAnsi="Calibri" w:cs="Calibri"/>
                <w:b/>
                <w:bCs/>
              </w:rPr>
              <w:br/>
            </w:r>
            <w:r w:rsidRPr="00EF54C2">
              <w:rPr>
                <w:rFonts w:ascii="Calibri" w:hAnsi="Calibri" w:cs="Calibri"/>
                <w:sz w:val="18"/>
                <w:szCs w:val="18"/>
              </w:rPr>
              <w:t>(Reference standards are in bold)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179EA7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Qty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2E4B4E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Pass/Fail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0BB2A0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 Results</w:t>
            </w:r>
          </w:p>
        </w:tc>
      </w:tr>
      <w:tr w:rsidR="00CA5B83" w:rsidRPr="00EF54C2" w14:paraId="64E76D5E" w14:textId="77777777" w:rsidTr="000A1AA1">
        <w:trPr>
          <w:trHeight w:val="30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391E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0471" w14:textId="77777777" w:rsidR="00CA5B83" w:rsidRPr="00EF54C2" w:rsidRDefault="00CA5B83" w:rsidP="000A1AA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Device Life Tests</w:t>
            </w:r>
          </w:p>
        </w:tc>
      </w:tr>
      <w:tr w:rsidR="00CA5B83" w:rsidRPr="00EF54C2" w14:paraId="6F0490DB" w14:textId="77777777" w:rsidTr="000A1AA1">
        <w:trPr>
          <w:trHeight w:val="692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5B94FA" w14:textId="77777777" w:rsidR="00CA5B83" w:rsidRPr="00EF54C2" w:rsidRDefault="00CA5B83" w:rsidP="000A1AA1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0EE3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1307" w14:textId="77777777" w:rsidR="00CA5B83" w:rsidRPr="00EF54C2" w:rsidRDefault="00CA5B83" w:rsidP="000A1AA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High Temperature Gate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Reverse </w:t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Bias (HTGB)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B0FC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100% V</w:t>
            </w:r>
            <w:r w:rsidRPr="00EF54C2">
              <w:rPr>
                <w:rFonts w:ascii="Calibri" w:hAnsi="Calibri" w:cs="Calibri"/>
                <w:sz w:val="16"/>
                <w:szCs w:val="16"/>
              </w:rPr>
              <w:t>GS</w:t>
            </w:r>
            <w:r>
              <w:rPr>
                <w:rFonts w:ascii="Calibri" w:hAnsi="Calibri" w:cs="Calibri"/>
                <w:sz w:val="16"/>
                <w:szCs w:val="16"/>
              </w:rPr>
              <w:t>=30V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JESD22-A110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8B49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6442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11AB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45/45</w:t>
            </w:r>
          </w:p>
        </w:tc>
      </w:tr>
      <w:tr w:rsidR="00CA5B83" w:rsidRPr="00EF54C2" w14:paraId="6DB19721" w14:textId="77777777" w:rsidTr="000A1AA1">
        <w:trPr>
          <w:trHeight w:val="629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360331" w14:textId="77777777" w:rsidR="00CA5B83" w:rsidRPr="00EF54C2" w:rsidRDefault="00CA5B83" w:rsidP="000A1AA1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3C5A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b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2275" w14:textId="77777777" w:rsidR="00CA5B83" w:rsidRPr="00EF54C2" w:rsidRDefault="00CA5B83" w:rsidP="000A1AA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Reverse Bias (HTRB)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D392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V</w:t>
            </w:r>
            <w:r w:rsidRPr="00EF54C2">
              <w:rPr>
                <w:rFonts w:ascii="Calibri" w:hAnsi="Calibri" w:cs="Calibri"/>
                <w:sz w:val="16"/>
                <w:szCs w:val="16"/>
              </w:rPr>
              <w:t>DS</w:t>
            </w:r>
            <w:r>
              <w:rPr>
                <w:rFonts w:ascii="Calibri" w:hAnsi="Calibri" w:cs="Calibri"/>
                <w:sz w:val="16"/>
                <w:szCs w:val="16"/>
              </w:rPr>
              <w:t>=600V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65A1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7FF2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3210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45/45</w:t>
            </w:r>
          </w:p>
        </w:tc>
      </w:tr>
      <w:tr w:rsidR="00CA5B83" w:rsidRPr="00EF54C2" w14:paraId="56B063F4" w14:textId="77777777" w:rsidTr="000A1AA1">
        <w:trPr>
          <w:trHeight w:val="93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</w:tcPr>
          <w:p w14:paraId="50FFCEFD" w14:textId="77777777" w:rsidR="00CA5B83" w:rsidRPr="00EF54C2" w:rsidRDefault="00CA5B83" w:rsidP="000A1AA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B49F73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55A298" w14:textId="77777777" w:rsidR="00CA5B83" w:rsidRPr="00EF54C2" w:rsidRDefault="00CA5B83" w:rsidP="000A1AA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High Accelerated Temperature and Humidity Stress Test  (HAST</w:t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B7450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T=130°C, t = 96 hours, 85%RH, 230kPA, V</w:t>
            </w:r>
            <w:r w:rsidRPr="00EF54C2">
              <w:rPr>
                <w:rFonts w:ascii="Calibri" w:hAnsi="Calibri" w:cs="Calibri"/>
                <w:sz w:val="16"/>
                <w:szCs w:val="16"/>
              </w:rPr>
              <w:t>DS</w:t>
            </w:r>
            <w:r>
              <w:rPr>
                <w:rFonts w:ascii="Calibri" w:hAnsi="Calibri" w:cs="Calibri"/>
                <w:sz w:val="16"/>
                <w:szCs w:val="16"/>
              </w:rPr>
              <w:t>=42V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BA1744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1B40AD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8D16CD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45/45</w:t>
            </w:r>
          </w:p>
        </w:tc>
      </w:tr>
      <w:tr w:rsidR="00CA5B83" w:rsidRPr="00EF54C2" w14:paraId="71D59E6B" w14:textId="77777777" w:rsidTr="000A1AA1">
        <w:trPr>
          <w:trHeight w:val="93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</w:tcPr>
          <w:p w14:paraId="47F76B4C" w14:textId="77777777" w:rsidR="00CA5B83" w:rsidRPr="00EF54C2" w:rsidRDefault="00CA5B83" w:rsidP="000A1AA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C0C69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51521" w14:textId="77777777" w:rsidR="00CA5B83" w:rsidRPr="00EF54C2" w:rsidRDefault="00CA5B83" w:rsidP="000A1AA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Temperature Cycling (TC)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84590" w14:textId="77777777" w:rsidR="00CA5B83" w:rsidRDefault="00CA5B83" w:rsidP="000A1A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-65°C -+150°C, Tdwell ≥10min, 500 cycles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19674" w14:textId="77777777" w:rsidR="00CA5B83" w:rsidRDefault="00CA5B83" w:rsidP="000A1A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5C49F" w14:textId="77777777" w:rsidR="00CA5B83" w:rsidRPr="00EF54C2" w:rsidRDefault="00CA5B83" w:rsidP="000A1AA1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4D17D" w14:textId="77777777" w:rsidR="00CA5B83" w:rsidRDefault="00CA5B83" w:rsidP="000A1A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45/45</w:t>
            </w:r>
          </w:p>
        </w:tc>
      </w:tr>
    </w:tbl>
    <w:p w14:paraId="2B2B724C" w14:textId="77777777" w:rsidR="00CA5B83" w:rsidRPr="00E21F41" w:rsidRDefault="00CA5B83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CCC982A" w14:textId="77777777" w:rsidR="0005006C" w:rsidRDefault="0005006C" w:rsidP="00C252EA">
      <w:pPr>
        <w:ind w:right="936"/>
        <w:rPr>
          <w:rFonts w:ascii="Arial" w:hAnsi="Arial" w:cs="Arial"/>
          <w:sz w:val="22"/>
          <w:szCs w:val="22"/>
        </w:rPr>
      </w:pPr>
    </w:p>
    <w:p w14:paraId="0FF652D6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77D48B78" w14:textId="77777777" w:rsidR="00CA5B83" w:rsidRPr="00CA5B83" w:rsidRDefault="00CA5B83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Existing inventory of chip process CP389 will be shipped until depleted.</w:t>
      </w:r>
    </w:p>
    <w:p w14:paraId="2FF76F7C" w14:textId="77777777" w:rsidR="0005006C" w:rsidRPr="00E21F41" w:rsidRDefault="0005006C" w:rsidP="00C252EA">
      <w:pPr>
        <w:ind w:left="360" w:firstLine="720"/>
        <w:rPr>
          <w:rFonts w:ascii="Arial" w:hAnsi="Arial" w:cs="Arial"/>
          <w:sz w:val="22"/>
          <w:szCs w:val="22"/>
        </w:rPr>
      </w:pPr>
    </w:p>
    <w:p w14:paraId="427CA94F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43781D8E" w14:textId="77777777" w:rsidR="00CA5B83" w:rsidRDefault="00CA5B83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contact your salesperson or manufacturer’s reperesntative for samples.</w:t>
      </w:r>
    </w:p>
    <w:p w14:paraId="7212B2F7" w14:textId="77777777" w:rsidR="00CA5B83" w:rsidRDefault="00CA5B83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p w14:paraId="52689A87" w14:textId="77777777" w:rsidR="00CA5B83" w:rsidRPr="00481163" w:rsidRDefault="00AA5F93" w:rsidP="00CA5B83">
      <w:pPr>
        <w:ind w:right="936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w:object w:dxaOrig="1440" w:dyaOrig="1440" w14:anchorId="50B38C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5.5pt;margin-top:9.45pt;width:208.9pt;height:159.25pt;z-index:251661312;mso-position-horizontal-relative:text;mso-position-vertical-relative:text">
            <v:imagedata r:id="rId7" o:title="" croptop="4788f" cropleft="10337f" cropright="10337f"/>
          </v:shape>
          <o:OLEObject Type="Embed" ProgID="AutoCADLT.Drawing.23" ShapeID="_x0000_s1037" DrawAspect="Content" ObjectID="_1747217986" r:id="rId8"/>
        </w:object>
      </w:r>
      <w:r>
        <w:rPr>
          <w:rFonts w:ascii="Arial" w:hAnsi="Arial" w:cs="Arial"/>
          <w:b/>
          <w:noProof/>
        </w:rPr>
        <w:object w:dxaOrig="1440" w:dyaOrig="1440" w14:anchorId="132368D8">
          <v:shape id="_x0000_s1039" type="#_x0000_t75" style="position:absolute;left:0;text-align:left;margin-left:286.3pt;margin-top:6.8pt;width:220.15pt;height:163.45pt;z-index:251662336;mso-position-horizontal-relative:text;mso-position-vertical-relative:text">
            <v:imagedata r:id="rId9" o:title="" croptop="4200f" cropleft="13030f" cropright="13030f"/>
          </v:shape>
          <o:OLEObject Type="Embed" ProgID="AutoCADLT.Drawing.23" ShapeID="_x0000_s1039" DrawAspect="Content" ObjectID="_1747217987" r:id="rId10"/>
        </w:object>
      </w:r>
      <w:r w:rsidR="00481163" w:rsidRPr="00481163">
        <w:rPr>
          <w:rFonts w:ascii="Arial" w:hAnsi="Arial" w:cs="Arial"/>
          <w:b/>
        </w:rPr>
        <w:t xml:space="preserve">    </w:t>
      </w:r>
      <w:r w:rsidR="00481163">
        <w:rPr>
          <w:rFonts w:ascii="Arial" w:hAnsi="Arial" w:cs="Arial"/>
          <w:b/>
        </w:rPr>
        <w:t xml:space="preserve">       </w:t>
      </w:r>
      <w:r w:rsidR="00CA5B83" w:rsidRPr="00481163">
        <w:rPr>
          <w:rFonts w:ascii="Arial" w:hAnsi="Arial" w:cs="Arial"/>
          <w:b/>
          <w:u w:val="single"/>
        </w:rPr>
        <w:t>Figure 1: CP389 Chip Geometry</w:t>
      </w:r>
      <w:r w:rsidR="00CA5B83" w:rsidRPr="00481163">
        <w:rPr>
          <w:rFonts w:ascii="Arial" w:hAnsi="Arial" w:cs="Arial"/>
          <w:b/>
        </w:rPr>
        <w:tab/>
      </w:r>
      <w:r w:rsidR="00481163" w:rsidRPr="00481163">
        <w:rPr>
          <w:rFonts w:ascii="Arial" w:hAnsi="Arial" w:cs="Arial"/>
          <w:b/>
        </w:rPr>
        <w:tab/>
      </w:r>
      <w:r w:rsidR="00481163">
        <w:rPr>
          <w:rFonts w:ascii="Arial" w:hAnsi="Arial" w:cs="Arial"/>
          <w:b/>
        </w:rPr>
        <w:t xml:space="preserve">                 </w:t>
      </w:r>
      <w:r w:rsidR="00CA5B83" w:rsidRPr="00481163">
        <w:rPr>
          <w:rFonts w:ascii="Arial" w:hAnsi="Arial" w:cs="Arial"/>
          <w:b/>
          <w:u w:val="single"/>
        </w:rPr>
        <w:t>Figure 2: CP400 Chip Geometry</w:t>
      </w:r>
    </w:p>
    <w:p w14:paraId="11FCFCFF" w14:textId="77777777" w:rsidR="00CA5B83" w:rsidRPr="00EA0671" w:rsidRDefault="00CA5B83" w:rsidP="00CA5B83">
      <w:pPr>
        <w:ind w:right="936" w:firstLine="720"/>
        <w:jc w:val="center"/>
        <w:rPr>
          <w:rFonts w:ascii="Arial" w:hAnsi="Arial" w:cs="Arial"/>
        </w:rPr>
      </w:pPr>
    </w:p>
    <w:p w14:paraId="31826ED8" w14:textId="77777777" w:rsidR="00CA5B83" w:rsidRDefault="00CA5B83" w:rsidP="00CA5B83">
      <w:pPr>
        <w:jc w:val="center"/>
        <w:rPr>
          <w:rFonts w:ascii="Arial" w:hAnsi="Arial" w:cs="Arial"/>
          <w:u w:val="single"/>
        </w:rPr>
      </w:pPr>
    </w:p>
    <w:p w14:paraId="73E334C0" w14:textId="77777777" w:rsidR="00CA5B83" w:rsidRPr="00543B5B" w:rsidRDefault="00CA5B83" w:rsidP="00CA5B8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</w:p>
    <w:p w14:paraId="6E6B933F" w14:textId="77777777" w:rsidR="00CA5B83" w:rsidRPr="009D79E1" w:rsidRDefault="00CA5B83" w:rsidP="00CA5B83">
      <w:pPr>
        <w:rPr>
          <w:rFonts w:ascii="Arial" w:hAnsi="Arial" w:cs="Arial"/>
          <w:u w:val="single"/>
        </w:rPr>
      </w:pPr>
    </w:p>
    <w:p w14:paraId="2FFCCE80" w14:textId="77777777" w:rsidR="00CA5B83" w:rsidRPr="00883079" w:rsidRDefault="00CA5B83" w:rsidP="00CA5B83">
      <w:pPr>
        <w:rPr>
          <w:rFonts w:ascii="Arial" w:hAnsi="Arial" w:cs="Arial"/>
          <w:u w:val="single"/>
        </w:rPr>
      </w:pPr>
      <w:r w:rsidRPr="00E93AB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</w:p>
    <w:p w14:paraId="108ACCA9" w14:textId="77777777" w:rsidR="00CA5B83" w:rsidRPr="009D79E1" w:rsidRDefault="00CA5B83" w:rsidP="00CA5B83">
      <w:pPr>
        <w:rPr>
          <w:rFonts w:ascii="Arial" w:hAnsi="Arial" w:cs="Arial"/>
        </w:rPr>
      </w:pPr>
    </w:p>
    <w:p w14:paraId="37DA1FCD" w14:textId="77777777" w:rsidR="00CA5B83" w:rsidRDefault="00CA5B83" w:rsidP="00CA5B83">
      <w:pPr>
        <w:rPr>
          <w:rFonts w:ascii="Arial" w:hAnsi="Arial" w:cs="Arial"/>
        </w:rPr>
      </w:pPr>
    </w:p>
    <w:p w14:paraId="4602BBFC" w14:textId="77777777" w:rsidR="008B63C2" w:rsidRDefault="008B63C2" w:rsidP="00CA5B83">
      <w:pPr>
        <w:rPr>
          <w:rFonts w:ascii="Arial" w:hAnsi="Arial" w:cs="Arial"/>
        </w:rPr>
      </w:pPr>
    </w:p>
    <w:p w14:paraId="71F29B72" w14:textId="77777777" w:rsidR="008B63C2" w:rsidRDefault="008B63C2" w:rsidP="00CA5B83">
      <w:pPr>
        <w:rPr>
          <w:rFonts w:ascii="Arial" w:hAnsi="Arial" w:cs="Arial"/>
        </w:rPr>
      </w:pPr>
    </w:p>
    <w:p w14:paraId="034249A5" w14:textId="77777777" w:rsidR="008B63C2" w:rsidRDefault="008B63C2" w:rsidP="00CA5B83">
      <w:pPr>
        <w:rPr>
          <w:rFonts w:ascii="Arial" w:hAnsi="Arial" w:cs="Arial"/>
        </w:rPr>
      </w:pPr>
    </w:p>
    <w:p w14:paraId="211001B4" w14:textId="77777777" w:rsidR="008B63C2" w:rsidRDefault="008B63C2" w:rsidP="00CA5B83">
      <w:pPr>
        <w:rPr>
          <w:rFonts w:ascii="Arial" w:hAnsi="Arial" w:cs="Arial"/>
        </w:rPr>
      </w:pPr>
    </w:p>
    <w:p w14:paraId="7E1E2A29" w14:textId="77777777" w:rsidR="008B63C2" w:rsidRPr="009D79E1" w:rsidRDefault="008B63C2" w:rsidP="00CA5B83">
      <w:pPr>
        <w:rPr>
          <w:rFonts w:ascii="Arial" w:hAnsi="Arial" w:cs="Arial"/>
        </w:rPr>
      </w:pPr>
    </w:p>
    <w:p w14:paraId="66445A95" w14:textId="77777777" w:rsidR="00CA5B83" w:rsidRPr="009D79E1" w:rsidRDefault="00CA5B83" w:rsidP="00CA5B83">
      <w:pPr>
        <w:rPr>
          <w:rFonts w:ascii="Arial" w:hAnsi="Arial" w:cs="Arial"/>
        </w:rPr>
      </w:pPr>
    </w:p>
    <w:p w14:paraId="6753F159" w14:textId="77777777" w:rsidR="00CA5B83" w:rsidRPr="009D79E1" w:rsidRDefault="00AA5F93" w:rsidP="00CA5B83">
      <w:pPr>
        <w:ind w:left="4320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/>
          <w:bCs/>
          <w:sz w:val="16"/>
          <w:szCs w:val="16"/>
          <w:u w:val="single"/>
          <w:lang w:eastAsia="ko-KR"/>
        </w:rPr>
        <w:pict w14:anchorId="5079F0B9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86.3pt;margin-top:1.65pt;width:256.95pt;height:111.25pt;z-index:251660288" stroked="f">
            <v:textbox style="mso-next-textbox:#_x0000_s1035">
              <w:txbxContent>
                <w:p w14:paraId="71CE94AB" w14:textId="77777777" w:rsidR="008B63C2" w:rsidRDefault="008B63C2" w:rsidP="00CA5B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D2A52DE" w14:textId="77777777" w:rsidR="008B63C2" w:rsidRDefault="008B63C2" w:rsidP="00CA5B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BB9DF7E" w14:textId="77777777" w:rsidR="00CA5B83" w:rsidRDefault="00CA5B83" w:rsidP="00CA5B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Wafer Diameter: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8 inch</w:t>
                  </w:r>
                </w:p>
                <w:p w14:paraId="24BFE49A" w14:textId="77777777" w:rsidR="00CA5B83" w:rsidRPr="00E01D15" w:rsidRDefault="00CA5B83" w:rsidP="00CA5B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F454B6">
                    <w:rPr>
                      <w:rFonts w:ascii="Arial" w:hAnsi="Arial" w:cs="Arial"/>
                      <w:sz w:val="18"/>
                      <w:szCs w:val="18"/>
                    </w:rPr>
                    <w:t xml:space="preserve">10.2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x 10</w:t>
                  </w:r>
                  <w:r w:rsidR="00F454B6">
                    <w:rPr>
                      <w:rFonts w:ascii="Arial" w:hAnsi="Arial" w:cs="Arial"/>
                      <w:sz w:val="18"/>
                      <w:szCs w:val="18"/>
                    </w:rPr>
                    <w:t>1.6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mils</w:t>
                  </w:r>
                </w:p>
                <w:p w14:paraId="70B1BD49" w14:textId="77777777" w:rsidR="00CA5B83" w:rsidRPr="00E01D15" w:rsidRDefault="00CA5B83" w:rsidP="00CA5B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9.1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6DB79573" w14:textId="77777777" w:rsidR="00CA5B83" w:rsidRDefault="00CA5B83" w:rsidP="00CA5B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Gate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13.4 x 1</w:t>
                  </w:r>
                  <w:r w:rsidR="00F454B6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F454B6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36ED4767" w14:textId="77777777" w:rsidR="00CA5B83" w:rsidRPr="00E01D15" w:rsidRDefault="00CA5B83" w:rsidP="00CA5B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Source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F454B6">
                    <w:rPr>
                      <w:rFonts w:ascii="Arial" w:hAnsi="Arial" w:cs="Arial"/>
                      <w:sz w:val="18"/>
                      <w:szCs w:val="18"/>
                    </w:rPr>
                    <w:t>51.2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F454B6">
                    <w:rPr>
                      <w:rFonts w:ascii="Arial" w:hAnsi="Arial" w:cs="Arial"/>
                      <w:sz w:val="18"/>
                      <w:szCs w:val="18"/>
                    </w:rPr>
                    <w:t>66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F454B6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47D9002D" w14:textId="77777777" w:rsidR="00CA5B83" w:rsidRPr="00E01D15" w:rsidRDefault="00CA5B83" w:rsidP="00CA5B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</w:p>
                <w:p w14:paraId="6AE89C4E" w14:textId="77777777" w:rsidR="00CA5B83" w:rsidRDefault="00CA5B83" w:rsidP="00CA5B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Ag (8</w:t>
                  </w:r>
                  <w:r w:rsidR="00F454B6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14:paraId="78C153FE" w14:textId="77777777" w:rsidR="00CA5B83" w:rsidRPr="00552A32" w:rsidRDefault="00CA5B83" w:rsidP="00CA5B8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</w:rPr>
        <w:pict w14:anchorId="7114C345">
          <v:shape id="_x0000_s1034" type="#_x0000_t202" style="position:absolute;left:0;text-align:left;margin-left:46pt;margin-top:1.65pt;width:289.1pt;height:111.25pt;z-index:251659264" stroked="f">
            <v:textbox style="mso-next-textbox:#_x0000_s1034">
              <w:txbxContent>
                <w:p w14:paraId="0895CFA4" w14:textId="77777777" w:rsidR="008B63C2" w:rsidRDefault="008B63C2" w:rsidP="00CA5B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4B6CF0" w14:textId="77777777" w:rsidR="008B63C2" w:rsidRDefault="008B63C2" w:rsidP="00CA5B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69F3364" w14:textId="77777777" w:rsidR="00CA5B83" w:rsidRDefault="00CA5B83" w:rsidP="00CA5B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Wafer Diameter: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6 inch</w:t>
                  </w:r>
                </w:p>
                <w:p w14:paraId="64835513" w14:textId="77777777" w:rsidR="00CA5B83" w:rsidRPr="00E01D15" w:rsidRDefault="00CA5B83" w:rsidP="00CA5B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137.8 x </w:t>
                  </w:r>
                  <w:r w:rsidR="00F454B6">
                    <w:rPr>
                      <w:rFonts w:ascii="Arial" w:hAnsi="Arial" w:cs="Arial"/>
                      <w:sz w:val="18"/>
                      <w:szCs w:val="18"/>
                    </w:rPr>
                    <w:t>96.9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1D639A43" w14:textId="77777777" w:rsidR="00CA5B83" w:rsidRPr="00E01D15" w:rsidRDefault="00CA5B83" w:rsidP="00CA5B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9.1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1121C672" w14:textId="77777777" w:rsidR="00CA5B83" w:rsidRDefault="00CA5B83" w:rsidP="00CA5B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Gate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1</w:t>
                  </w:r>
                  <w:r w:rsidR="00F454B6">
                    <w:rPr>
                      <w:rFonts w:ascii="Arial" w:hAnsi="Arial" w:cs="Arial"/>
                      <w:sz w:val="18"/>
                      <w:szCs w:val="18"/>
                    </w:rPr>
                    <w:t>3.98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17.3</w:t>
                  </w:r>
                  <w:r w:rsidR="00F454B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57C6CF8A" w14:textId="77777777" w:rsidR="00CA5B83" w:rsidRPr="00E01D15" w:rsidRDefault="00CA5B83" w:rsidP="00CA5B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Source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F454B6">
                    <w:rPr>
                      <w:rFonts w:ascii="Arial" w:hAnsi="Arial" w:cs="Arial"/>
                      <w:sz w:val="18"/>
                      <w:szCs w:val="18"/>
                    </w:rPr>
                    <w:t>55.1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5</w:t>
                  </w:r>
                  <w:r w:rsidR="00F454B6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F454B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0114CFF5" w14:textId="77777777" w:rsidR="00CA5B83" w:rsidRPr="00E01D15" w:rsidRDefault="00CA5B83" w:rsidP="00CA5B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,000Å)</w:t>
                  </w:r>
                </w:p>
                <w:p w14:paraId="167A8FEC" w14:textId="77777777" w:rsidR="00CA5B83" w:rsidRDefault="00CA5B83" w:rsidP="00CA5B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Ag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="00F454B6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)  </w:t>
                  </w:r>
                </w:p>
              </w:txbxContent>
            </v:textbox>
          </v:shape>
        </w:pict>
      </w:r>
    </w:p>
    <w:p w14:paraId="1A5EE0C4" w14:textId="77777777" w:rsidR="00CA5B83" w:rsidRPr="009D79E1" w:rsidRDefault="00CA5B83" w:rsidP="00CA5B83">
      <w:pPr>
        <w:ind w:left="4320"/>
        <w:rPr>
          <w:rFonts w:ascii="Arial" w:hAnsi="Arial" w:cs="Arial"/>
          <w:b/>
          <w:bCs/>
          <w:u w:val="single"/>
        </w:rPr>
      </w:pPr>
    </w:p>
    <w:p w14:paraId="44E1753A" w14:textId="77777777" w:rsidR="00CA5B83" w:rsidRDefault="00CA5B83" w:rsidP="00CA5B83">
      <w:pPr>
        <w:ind w:left="4320"/>
        <w:rPr>
          <w:rFonts w:ascii="Arial" w:hAnsi="Arial" w:cs="Arial"/>
          <w:b/>
          <w:bCs/>
          <w:u w:val="single"/>
        </w:rPr>
      </w:pPr>
    </w:p>
    <w:p w14:paraId="185B0A7D" w14:textId="77777777" w:rsidR="00CA5B83" w:rsidRDefault="00CA5B83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p w14:paraId="77AE1DC5" w14:textId="77777777" w:rsidR="00CA5B83" w:rsidRPr="00CA5B83" w:rsidRDefault="00CA5B83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p w14:paraId="6DB90FE4" w14:textId="77777777" w:rsidR="0054538A" w:rsidRDefault="0054538A">
      <w:pPr>
        <w:rPr>
          <w:rFonts w:ascii="Arial" w:hAnsi="Arial" w:cs="Arial"/>
          <w:bCs/>
          <w:sz w:val="22"/>
          <w:szCs w:val="22"/>
        </w:rPr>
      </w:pPr>
    </w:p>
    <w:p w14:paraId="6FA38B72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70298AB9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04BBD438" w14:textId="77777777" w:rsidR="00CA5B83" w:rsidRDefault="00CA5B8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34C9294F" w14:textId="77777777" w:rsidR="00F454B6" w:rsidRDefault="00F454B6" w:rsidP="00F454B6">
      <w:pPr>
        <w:rPr>
          <w:rFonts w:ascii="Arial" w:hAnsi="Arial" w:cs="Arial"/>
          <w:bCs/>
          <w:sz w:val="22"/>
          <w:szCs w:val="22"/>
        </w:rPr>
      </w:pPr>
    </w:p>
    <w:p w14:paraId="244281AF" w14:textId="77777777" w:rsidR="00F454B6" w:rsidRPr="009D79E1" w:rsidRDefault="00F454B6" w:rsidP="00F454B6">
      <w:pPr>
        <w:ind w:left="4320"/>
        <w:rPr>
          <w:rFonts w:ascii="Arial" w:hAnsi="Arial" w:cs="Arial"/>
          <w:b/>
          <w:bCs/>
        </w:rPr>
      </w:pPr>
      <w:r w:rsidRPr="009D79E1">
        <w:rPr>
          <w:rFonts w:ascii="Arial" w:hAnsi="Arial" w:cs="Arial"/>
          <w:b/>
          <w:bCs/>
          <w:u w:val="single"/>
        </w:rPr>
        <w:t>Part Numbers Affected</w:t>
      </w:r>
      <w:r w:rsidRPr="009D79E1">
        <w:rPr>
          <w:rFonts w:ascii="Arial" w:hAnsi="Arial" w:cs="Arial"/>
          <w:b/>
          <w:bCs/>
        </w:rPr>
        <w:t>:</w:t>
      </w:r>
    </w:p>
    <w:tbl>
      <w:tblPr>
        <w:tblpPr w:leftFromText="180" w:rightFromText="180" w:vertAnchor="text" w:horzAnchor="margin" w:tblpXSpec="center" w:tblpY="139"/>
        <w:tblW w:w="5230" w:type="dxa"/>
        <w:tblLook w:val="04A0" w:firstRow="1" w:lastRow="0" w:firstColumn="1" w:lastColumn="0" w:noHBand="0" w:noVBand="1"/>
      </w:tblPr>
      <w:tblGrid>
        <w:gridCol w:w="2448"/>
        <w:gridCol w:w="2782"/>
      </w:tblGrid>
      <w:tr w:rsidR="00F454B6" w:rsidRPr="00F40453" w14:paraId="5F0CF190" w14:textId="77777777" w:rsidTr="000A1AA1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E314" w14:textId="77777777" w:rsidR="00F454B6" w:rsidRPr="00F40453" w:rsidRDefault="00F454B6" w:rsidP="000A1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CDM</w:t>
            </w:r>
            <w:r w:rsidR="0097248A">
              <w:rPr>
                <w:rFonts w:ascii="Arial" w:hAnsi="Arial" w:cs="Arial"/>
                <w:color w:val="000000"/>
                <w:sz w:val="22"/>
                <w:szCs w:val="22"/>
              </w:rPr>
              <w:t>7-600LR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3B34" w14:textId="77777777" w:rsidR="00F454B6" w:rsidRPr="00F40453" w:rsidRDefault="0097248A" w:rsidP="000A1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CP389-CDM7-600LR-CT</w:t>
            </w:r>
          </w:p>
        </w:tc>
      </w:tr>
      <w:tr w:rsidR="00F454B6" w:rsidRPr="00F40453" w14:paraId="100AD9CB" w14:textId="77777777" w:rsidTr="000A1AA1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F995" w14:textId="77777777" w:rsidR="00F454B6" w:rsidRDefault="00F454B6" w:rsidP="000A1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7B8F" w14:textId="77777777" w:rsidR="00F454B6" w:rsidRDefault="00F454B6" w:rsidP="000A1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CP3</w:t>
            </w:r>
            <w:r w:rsidR="0097248A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-CDM</w:t>
            </w:r>
            <w:r w:rsidR="0097248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-600L</w:t>
            </w:r>
            <w:r w:rsidR="0097248A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97248A">
              <w:rPr>
                <w:rFonts w:ascii="Arial" w:hAnsi="Arial" w:cs="Arial"/>
                <w:color w:val="000000"/>
                <w:sz w:val="22"/>
                <w:szCs w:val="22"/>
              </w:rPr>
              <w:t>WN</w:t>
            </w:r>
          </w:p>
        </w:tc>
      </w:tr>
    </w:tbl>
    <w:p w14:paraId="0B52071B" w14:textId="77777777" w:rsidR="00F454B6" w:rsidRDefault="00F454B6" w:rsidP="00F454B6">
      <w:pPr>
        <w:rPr>
          <w:rFonts w:ascii="Arial" w:hAnsi="Arial" w:cs="Arial"/>
          <w:bCs/>
          <w:sz w:val="22"/>
          <w:szCs w:val="22"/>
        </w:rPr>
      </w:pPr>
    </w:p>
    <w:p w14:paraId="64E75FC9" w14:textId="77777777" w:rsidR="00F454B6" w:rsidRDefault="00F454B6" w:rsidP="00F454B6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1B529F14" w14:textId="77777777" w:rsidR="00F454B6" w:rsidRDefault="00F454B6" w:rsidP="00F454B6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4BAD7BCF" w14:textId="77777777" w:rsidR="00F454B6" w:rsidRDefault="00F454B6" w:rsidP="00F454B6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5973A138" w14:textId="77777777" w:rsidR="00CA5B83" w:rsidRDefault="00CA5B8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43FCC633" w14:textId="77777777" w:rsidR="00CA5B83" w:rsidRDefault="00CA5B8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534C58BC" w14:textId="77777777" w:rsidR="00CA5B83" w:rsidRDefault="00CA5B8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32F505B4" w14:textId="77777777" w:rsidR="00CA5B83" w:rsidRDefault="00CA5B8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7CE8A952" w14:textId="77777777" w:rsidR="00CA5B83" w:rsidRDefault="00CA5B8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04B4B451" w14:textId="77777777" w:rsidR="00CA5B83" w:rsidRDefault="00CA5B8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23762EEA" w14:textId="77777777" w:rsidR="00CA5B83" w:rsidRDefault="00CA5B8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07F29649" w14:textId="77777777" w:rsidR="00241D6A" w:rsidRDefault="00241D6A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007C28BE" w14:textId="77777777" w:rsidR="00241D6A" w:rsidRDefault="00241D6A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3633B9AC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7966BB3F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52A5B4A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74FD2C60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5455C4D3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2F9C60E0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1D3D50E9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4AC1C7A5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796CA5BF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581F7B15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5D54A812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0714D7D1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45A81C5B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612C5DD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13C0B2A7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62926AA9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4FEC2502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393D7B6A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06B459F8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1EAD93C1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3154941F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14C32D4D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B28BC8B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040A101C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1118B01B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33DB03CA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64D61E4C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055548EB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742D1A7F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11"/>
      <w:footerReference w:type="default" r:id="rId12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7009" w14:textId="77777777" w:rsidR="00535051" w:rsidRDefault="00535051">
      <w:r>
        <w:separator/>
      </w:r>
    </w:p>
  </w:endnote>
  <w:endnote w:type="continuationSeparator" w:id="0">
    <w:p w14:paraId="246A2B11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DB52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6A68BC5E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F44F51">
      <w:rPr>
        <w:rFonts w:ascii="Arial" w:hAnsi="Arial" w:cs="Arial"/>
        <w:b/>
        <w:noProof/>
      </w:rPr>
      <w:t>1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F44F51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4F0F4B59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14A5" w14:textId="77777777" w:rsidR="00535051" w:rsidRDefault="00535051">
      <w:r>
        <w:separator/>
      </w:r>
    </w:p>
  </w:footnote>
  <w:footnote w:type="continuationSeparator" w:id="0">
    <w:p w14:paraId="20C23B51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C3E2" w14:textId="585C67A9" w:rsidR="005D67B5" w:rsidRDefault="00AA5F93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39FA491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3E3AF1C0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9B1502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182</w:t>
                </w:r>
              </w:p>
              <w:p w14:paraId="7659326E" w14:textId="77777777" w:rsidR="00BA3355" w:rsidRPr="002A7160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56F0A470" w14:textId="77777777" w:rsidR="00BA3355" w:rsidRPr="009B1502" w:rsidRDefault="009B1502" w:rsidP="00BA3355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B1502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F44F51"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  <w:r w:rsidRPr="009B1502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April 2020</w:t>
                </w:r>
              </w:p>
              <w:p w14:paraId="68E14DE7" w14:textId="77777777" w:rsidR="00BA3355" w:rsidRPr="00C252EA" w:rsidRDefault="00BA3355" w:rsidP="00BA3355"/>
            </w:txbxContent>
          </v:textbox>
          <w10:wrap type="square"/>
        </v:shape>
      </w:pict>
    </w:r>
    <w:r>
      <w:rPr>
        <w:rFonts w:ascii="Arial" w:hAnsi="Arial"/>
        <w:noProof/>
        <w:sz w:val="32"/>
      </w:rPr>
      <w:pict w14:anchorId="6C019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26pt;height:79.5pt">
          <v:imagedata r:id="rId1" o:title="Central_Logo_For_Documents"/>
        </v:shape>
      </w:pict>
    </w:r>
    <w:r w:rsidR="005D67B5">
      <w:rPr>
        <w:rFonts w:ascii="Arial" w:hAnsi="Arial"/>
        <w:sz w:val="16"/>
      </w:rPr>
      <w:tab/>
    </w:r>
  </w:p>
  <w:p w14:paraId="64629F93" w14:textId="77777777" w:rsidR="005D67B5" w:rsidRPr="00D83B79" w:rsidRDefault="00AA5F93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3690A883" w14:textId="77777777" w:rsidR="005D67B5" w:rsidRDefault="00AA5F93">
    <w:pPr>
      <w:pStyle w:val="Header"/>
      <w:rPr>
        <w:b/>
        <w:bCs/>
      </w:rPr>
    </w:pPr>
    <w:hyperlink r:id="rId3" w:history="1">
      <w:r w:rsidR="00EF3F39">
        <w:rPr>
          <w:rStyle w:val="Hyperlink"/>
        </w:rPr>
        <w:t>https://www.centralsemi.com/process-change-notices</w:t>
      </w:r>
    </w:hyperlink>
    <w:r w:rsidR="005D67B5"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582E"/>
    <w:rsid w:val="00082E32"/>
    <w:rsid w:val="000910AC"/>
    <w:rsid w:val="000A4978"/>
    <w:rsid w:val="000B2D65"/>
    <w:rsid w:val="000C4495"/>
    <w:rsid w:val="000F00A8"/>
    <w:rsid w:val="00116622"/>
    <w:rsid w:val="00144FDB"/>
    <w:rsid w:val="00154C4A"/>
    <w:rsid w:val="00155A51"/>
    <w:rsid w:val="001D5E0C"/>
    <w:rsid w:val="001E1893"/>
    <w:rsid w:val="001F09EF"/>
    <w:rsid w:val="002031DC"/>
    <w:rsid w:val="002101C1"/>
    <w:rsid w:val="002213F1"/>
    <w:rsid w:val="00227168"/>
    <w:rsid w:val="00236FDA"/>
    <w:rsid w:val="00241D6A"/>
    <w:rsid w:val="002446B5"/>
    <w:rsid w:val="00247E96"/>
    <w:rsid w:val="00262C44"/>
    <w:rsid w:val="00262C86"/>
    <w:rsid w:val="0026443C"/>
    <w:rsid w:val="00285439"/>
    <w:rsid w:val="00294440"/>
    <w:rsid w:val="002D04F5"/>
    <w:rsid w:val="002E5EB1"/>
    <w:rsid w:val="002E753F"/>
    <w:rsid w:val="003424B2"/>
    <w:rsid w:val="003448BB"/>
    <w:rsid w:val="00351780"/>
    <w:rsid w:val="003818FF"/>
    <w:rsid w:val="003828CA"/>
    <w:rsid w:val="00390357"/>
    <w:rsid w:val="00396447"/>
    <w:rsid w:val="003972A4"/>
    <w:rsid w:val="003F0FA3"/>
    <w:rsid w:val="003F5C3A"/>
    <w:rsid w:val="00405B52"/>
    <w:rsid w:val="00420541"/>
    <w:rsid w:val="00433A85"/>
    <w:rsid w:val="00481163"/>
    <w:rsid w:val="004939AE"/>
    <w:rsid w:val="004C5C8F"/>
    <w:rsid w:val="004D2899"/>
    <w:rsid w:val="004E1FD0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D67B5"/>
    <w:rsid w:val="0060064B"/>
    <w:rsid w:val="006012FF"/>
    <w:rsid w:val="00611669"/>
    <w:rsid w:val="00651EAA"/>
    <w:rsid w:val="00654C55"/>
    <w:rsid w:val="00656DB3"/>
    <w:rsid w:val="006708A5"/>
    <w:rsid w:val="006732E8"/>
    <w:rsid w:val="006A3152"/>
    <w:rsid w:val="006E3819"/>
    <w:rsid w:val="007102D9"/>
    <w:rsid w:val="00711B3B"/>
    <w:rsid w:val="00711CB6"/>
    <w:rsid w:val="0073308D"/>
    <w:rsid w:val="00737FF6"/>
    <w:rsid w:val="00755AA5"/>
    <w:rsid w:val="007777E1"/>
    <w:rsid w:val="007920EB"/>
    <w:rsid w:val="00794B5E"/>
    <w:rsid w:val="007A5AB5"/>
    <w:rsid w:val="007B0306"/>
    <w:rsid w:val="007D1EC7"/>
    <w:rsid w:val="007D2C66"/>
    <w:rsid w:val="007E53BB"/>
    <w:rsid w:val="007F0654"/>
    <w:rsid w:val="007F1823"/>
    <w:rsid w:val="008112A4"/>
    <w:rsid w:val="00811FB4"/>
    <w:rsid w:val="00820751"/>
    <w:rsid w:val="00821082"/>
    <w:rsid w:val="00824E89"/>
    <w:rsid w:val="008B63C2"/>
    <w:rsid w:val="008C0BC0"/>
    <w:rsid w:val="008C3858"/>
    <w:rsid w:val="008E12A3"/>
    <w:rsid w:val="00923934"/>
    <w:rsid w:val="00924032"/>
    <w:rsid w:val="00927820"/>
    <w:rsid w:val="00936427"/>
    <w:rsid w:val="009371E4"/>
    <w:rsid w:val="009415B9"/>
    <w:rsid w:val="00943714"/>
    <w:rsid w:val="00954B4A"/>
    <w:rsid w:val="0097248A"/>
    <w:rsid w:val="00981D61"/>
    <w:rsid w:val="009873F0"/>
    <w:rsid w:val="00990407"/>
    <w:rsid w:val="009A0429"/>
    <w:rsid w:val="009B070C"/>
    <w:rsid w:val="009B1502"/>
    <w:rsid w:val="009B18F4"/>
    <w:rsid w:val="009C235C"/>
    <w:rsid w:val="009C3170"/>
    <w:rsid w:val="009C32A2"/>
    <w:rsid w:val="009D53C0"/>
    <w:rsid w:val="009F7E07"/>
    <w:rsid w:val="00A020F1"/>
    <w:rsid w:val="00A455F7"/>
    <w:rsid w:val="00A614F2"/>
    <w:rsid w:val="00A71308"/>
    <w:rsid w:val="00A757A2"/>
    <w:rsid w:val="00A84F0E"/>
    <w:rsid w:val="00A96A4B"/>
    <w:rsid w:val="00AA5F93"/>
    <w:rsid w:val="00AD0F1B"/>
    <w:rsid w:val="00B05B4A"/>
    <w:rsid w:val="00B06759"/>
    <w:rsid w:val="00B340D7"/>
    <w:rsid w:val="00B42BAD"/>
    <w:rsid w:val="00B457E3"/>
    <w:rsid w:val="00B52FA8"/>
    <w:rsid w:val="00B56384"/>
    <w:rsid w:val="00B61657"/>
    <w:rsid w:val="00B717C8"/>
    <w:rsid w:val="00BA3355"/>
    <w:rsid w:val="00BB44B2"/>
    <w:rsid w:val="00BD2722"/>
    <w:rsid w:val="00C003A8"/>
    <w:rsid w:val="00C252EA"/>
    <w:rsid w:val="00C82B7C"/>
    <w:rsid w:val="00CA1691"/>
    <w:rsid w:val="00CA5B83"/>
    <w:rsid w:val="00CA68BE"/>
    <w:rsid w:val="00D37659"/>
    <w:rsid w:val="00D62272"/>
    <w:rsid w:val="00D64607"/>
    <w:rsid w:val="00D6629C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F3BF6"/>
    <w:rsid w:val="00E138D4"/>
    <w:rsid w:val="00E154CC"/>
    <w:rsid w:val="00E440F8"/>
    <w:rsid w:val="00E50F08"/>
    <w:rsid w:val="00EA22C4"/>
    <w:rsid w:val="00EB273A"/>
    <w:rsid w:val="00EC43D4"/>
    <w:rsid w:val="00ED2438"/>
    <w:rsid w:val="00EE15FA"/>
    <w:rsid w:val="00EE2FFB"/>
    <w:rsid w:val="00EF3F39"/>
    <w:rsid w:val="00F05A68"/>
    <w:rsid w:val="00F11CF0"/>
    <w:rsid w:val="00F26907"/>
    <w:rsid w:val="00F42A3D"/>
    <w:rsid w:val="00F44F51"/>
    <w:rsid w:val="00F454B6"/>
    <w:rsid w:val="00F62ADB"/>
    <w:rsid w:val="00F646AF"/>
    <w:rsid w:val="00F64EB1"/>
    <w:rsid w:val="00F74803"/>
    <w:rsid w:val="00F75F40"/>
    <w:rsid w:val="00FA0972"/>
    <w:rsid w:val="00FA7147"/>
    <w:rsid w:val="00FC382F"/>
    <w:rsid w:val="00FC4102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2D889F0A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tralsemi.com/process-change-notices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1FF04-2005-45DB-AA99-C78BEAD0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Form.dot</Template>
  <TotalTime>58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2098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Brianna Gomez</cp:lastModifiedBy>
  <cp:revision>11</cp:revision>
  <cp:lastPrinted>2023-06-02T17:33:00Z</cp:lastPrinted>
  <dcterms:created xsi:type="dcterms:W3CDTF">2016-07-29T13:55:00Z</dcterms:created>
  <dcterms:modified xsi:type="dcterms:W3CDTF">2023-06-02T17:33:00Z</dcterms:modified>
</cp:coreProperties>
</file>