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5B282249">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30BE753B" w:rsidR="00131296" w:rsidRPr="00216F22" w:rsidRDefault="00131296" w:rsidP="00131296">
      <w:pPr>
        <w:spacing w:after="0"/>
        <w:jc w:val="center"/>
        <w:rPr>
          <w:sz w:val="24"/>
          <w:szCs w:val="24"/>
        </w:rPr>
      </w:pPr>
      <w:r w:rsidRPr="00216F22">
        <w:rPr>
          <w:sz w:val="24"/>
          <w:szCs w:val="24"/>
        </w:rPr>
        <w:t xml:space="preserve">Package: </w:t>
      </w:r>
      <w:r w:rsidR="003B18CA">
        <w:rPr>
          <w:sz w:val="24"/>
          <w:szCs w:val="24"/>
        </w:rPr>
        <w:t>DO-15</w:t>
      </w:r>
    </w:p>
    <w:p w14:paraId="7768E52C" w14:textId="77777777" w:rsidR="00131296" w:rsidRDefault="00131296" w:rsidP="00131296">
      <w:pPr>
        <w:spacing w:after="0"/>
        <w:jc w:val="center"/>
      </w:pPr>
    </w:p>
    <w:p w14:paraId="0E2CC4C5" w14:textId="0FC5AF59" w:rsidR="00D476EC" w:rsidRDefault="003B18CA" w:rsidP="00131296">
      <w:pPr>
        <w:jc w:val="center"/>
      </w:pPr>
      <w:r>
        <w:rPr>
          <w:noProof/>
        </w:rPr>
        <w:drawing>
          <wp:inline distT="0" distB="0" distL="0" distR="0" wp14:anchorId="0B5EA4B1" wp14:editId="0C548C66">
            <wp:extent cx="2942481" cy="86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2481" cy="868680"/>
                    </a:xfrm>
                    <a:prstGeom prst="rect">
                      <a:avLst/>
                    </a:prstGeom>
                    <a:noFill/>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 xml:space="preserve">The purpose of this test method is to measure bond strengths, evaluate bond strength distributions, or determine compliance with specified bond strength requirements of the applicable acquisition document. This test may be applied </w:t>
      </w:r>
      <w:r w:rsidRPr="00F117C0">
        <w:lastRenderedPageBreak/>
        <w:t>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42832050" w14:textId="77777777" w:rsidR="00131296" w:rsidRPr="00A7270B" w:rsidRDefault="00131296" w:rsidP="00131296">
      <w:pPr>
        <w:rPr>
          <w:b/>
          <w:u w:val="single"/>
        </w:rPr>
      </w:pPr>
      <w:r w:rsidRPr="00A7270B">
        <w:rPr>
          <w:b/>
          <w:u w:val="single"/>
        </w:rPr>
        <w:lastRenderedPageBreak/>
        <w:t>P</w:t>
      </w:r>
      <w:r w:rsidR="00717F12">
        <w:rPr>
          <w:b/>
          <w:u w:val="single"/>
        </w:rPr>
        <w:t>ackage</w:t>
      </w:r>
      <w:r w:rsidRPr="00A7270B">
        <w:rPr>
          <w:b/>
          <w:u w:val="single"/>
        </w:rPr>
        <w:t xml:space="preserve"> D</w:t>
      </w:r>
      <w:r w:rsidR="00717F12">
        <w:rPr>
          <w:b/>
          <w:u w:val="single"/>
        </w:rPr>
        <w:t>etails</w:t>
      </w:r>
    </w:p>
    <w:p w14:paraId="3B7B6572" w14:textId="3BCE9E9C" w:rsidR="00131296" w:rsidRPr="00F117C0" w:rsidRDefault="001939A1" w:rsidP="00F61CD6">
      <w:pPr>
        <w:jc w:val="center"/>
        <w:rPr>
          <w:b/>
        </w:rPr>
      </w:pPr>
      <w:r w:rsidRPr="001939A1">
        <w:rPr>
          <w:b/>
          <w:noProof/>
        </w:rPr>
        <w:drawing>
          <wp:inline distT="0" distB="0" distL="0" distR="0" wp14:anchorId="00A7A456" wp14:editId="0865C2AF">
            <wp:extent cx="6858000" cy="5249545"/>
            <wp:effectExtent l="0" t="0" r="0" b="825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8"/>
                    <a:stretch>
                      <a:fillRect/>
                    </a:stretch>
                  </pic:blipFill>
                  <pic:spPr>
                    <a:xfrm>
                      <a:off x="0" y="0"/>
                      <a:ext cx="6858000" cy="5249545"/>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40B34ECE" w14:textId="77777777" w:rsidR="00F22EEC" w:rsidRDefault="00F22EEC" w:rsidP="00131296">
      <w:pPr>
        <w:spacing w:after="0"/>
      </w:pPr>
    </w:p>
    <w:p w14:paraId="39E31485" w14:textId="77777777" w:rsidR="00F22EEC" w:rsidRDefault="00F22EEC" w:rsidP="00131296">
      <w:pPr>
        <w:spacing w:after="0"/>
      </w:pPr>
    </w:p>
    <w:p w14:paraId="57970A6E" w14:textId="77777777" w:rsidR="00F22EEC" w:rsidRDefault="00F22EEC" w:rsidP="00131296">
      <w:pPr>
        <w:spacing w:after="0"/>
      </w:pPr>
    </w:p>
    <w:p w14:paraId="58780F2D" w14:textId="77777777" w:rsidR="00F22EEC" w:rsidRDefault="00F22EEC" w:rsidP="00131296">
      <w:pPr>
        <w:spacing w:after="0"/>
      </w:pPr>
    </w:p>
    <w:p w14:paraId="10EB1CCC" w14:textId="77777777" w:rsidR="00F22EEC" w:rsidRDefault="00F22EEC" w:rsidP="00131296">
      <w:pPr>
        <w:spacing w:after="0"/>
      </w:pPr>
    </w:p>
    <w:p w14:paraId="26BC83B8" w14:textId="77777777" w:rsidR="00F22EEC" w:rsidRDefault="00F22EEC" w:rsidP="00131296">
      <w:pPr>
        <w:spacing w:after="0"/>
      </w:pPr>
    </w:p>
    <w:p w14:paraId="4AAD48FA" w14:textId="77777777" w:rsidR="00F22EEC" w:rsidRDefault="00F22EEC" w:rsidP="00131296">
      <w:pPr>
        <w:spacing w:after="0"/>
      </w:pPr>
    </w:p>
    <w:p w14:paraId="74D574E9" w14:textId="77777777" w:rsidR="00F22EEC" w:rsidRDefault="00F22EEC" w:rsidP="00131296">
      <w:pPr>
        <w:spacing w:after="0"/>
      </w:pPr>
    </w:p>
    <w:p w14:paraId="3BF30389" w14:textId="77777777" w:rsidR="00F22EEC" w:rsidRDefault="00F22EEC" w:rsidP="00131296">
      <w:pPr>
        <w:spacing w:after="0"/>
      </w:pPr>
    </w:p>
    <w:p w14:paraId="74DB6007" w14:textId="77777777" w:rsidR="00F22EEC" w:rsidRDefault="00F22EEC" w:rsidP="00131296">
      <w:pPr>
        <w:spacing w:after="0"/>
      </w:pPr>
    </w:p>
    <w:p w14:paraId="1EFFF4C4" w14:textId="77777777" w:rsidR="00F22EEC" w:rsidRDefault="00F22EEC" w:rsidP="00131296">
      <w:pPr>
        <w:spacing w:after="0"/>
      </w:pPr>
    </w:p>
    <w:p w14:paraId="5C5DBF5F" w14:textId="77777777" w:rsidR="00F22EEC" w:rsidRDefault="00F22EEC" w:rsidP="00131296">
      <w:pPr>
        <w:spacing w:after="0"/>
      </w:pPr>
    </w:p>
    <w:p w14:paraId="5F8C1D4D" w14:textId="4C6C9DF1"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7DF40E49" w14:textId="7FE21C2D" w:rsidR="00E71495" w:rsidRPr="00E71495" w:rsidRDefault="00E71495" w:rsidP="00F27817">
      <w:pPr>
        <w:spacing w:after="0" w:line="240" w:lineRule="auto"/>
        <w:jc w:val="center"/>
        <w:rPr>
          <w:rFonts w:ascii="Arial" w:eastAsia="Times New Roman" w:hAnsi="Arial" w:cs="Times New Roman"/>
          <w:bCs/>
          <w:szCs w:val="20"/>
        </w:rPr>
      </w:pPr>
      <w:r w:rsidRPr="00E71495">
        <w:rPr>
          <w:rFonts w:ascii="Arial" w:eastAsia="Times New Roman" w:hAnsi="Arial" w:cs="Times New Roman"/>
          <w:bCs/>
          <w:szCs w:val="20"/>
        </w:rPr>
        <w:t>P/N: P6KE51A</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F61CD6" w:rsidRPr="00F61CD6" w14:paraId="4BDFAA1D" w14:textId="77777777" w:rsidTr="00F61CD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D4B2D" w14:textId="77777777" w:rsidR="00F61CD6" w:rsidRPr="00F61CD6" w:rsidRDefault="00F61CD6" w:rsidP="00F61CD6">
            <w:pPr>
              <w:spacing w:after="0" w:line="240" w:lineRule="auto"/>
              <w:rPr>
                <w:rFonts w:ascii="Calibri" w:eastAsia="Times New Roman" w:hAnsi="Calibri" w:cs="Calibri"/>
                <w:b/>
                <w:bCs/>
              </w:rPr>
            </w:pPr>
            <w:r w:rsidRPr="00F61CD6">
              <w:rPr>
                <w:rFonts w:ascii="Calibri" w:eastAsia="Times New Roman" w:hAnsi="Calibri" w:cs="Calibri"/>
                <w:b/>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709D2C5" w14:textId="77777777" w:rsidR="00F61CD6" w:rsidRPr="00F61CD6" w:rsidRDefault="00F61CD6" w:rsidP="00F61CD6">
            <w:pPr>
              <w:spacing w:after="0" w:line="240" w:lineRule="auto"/>
              <w:rPr>
                <w:rFonts w:ascii="Calibri" w:eastAsia="Times New Roman" w:hAnsi="Calibri" w:cs="Calibri"/>
              </w:rPr>
            </w:pPr>
            <w:r w:rsidRPr="00F61CD6">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1EE785BE" w14:textId="77777777" w:rsidR="00F61CD6" w:rsidRPr="00F61CD6" w:rsidRDefault="00F61CD6" w:rsidP="00F61CD6">
            <w:pPr>
              <w:spacing w:after="0" w:line="240" w:lineRule="auto"/>
              <w:rPr>
                <w:rFonts w:ascii="Calibri" w:eastAsia="Times New Roman" w:hAnsi="Calibri" w:cs="Calibri"/>
              </w:rPr>
            </w:pPr>
            <w:r w:rsidRPr="00F61CD6">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3028A03" w14:textId="77777777" w:rsidR="00F61CD6" w:rsidRPr="00F61CD6" w:rsidRDefault="00F61CD6" w:rsidP="00F61CD6">
            <w:pPr>
              <w:spacing w:after="0" w:line="240" w:lineRule="auto"/>
              <w:rPr>
                <w:rFonts w:ascii="Calibri" w:eastAsia="Times New Roman" w:hAnsi="Calibri" w:cs="Calibri"/>
              </w:rPr>
            </w:pPr>
            <w:r w:rsidRPr="00F61CD6">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3757394" w14:textId="4AD41072" w:rsidR="00F61CD6" w:rsidRPr="00F61CD6" w:rsidRDefault="00F61CD6" w:rsidP="00F61CD6">
            <w:pPr>
              <w:spacing w:after="0" w:line="240" w:lineRule="auto"/>
              <w:rPr>
                <w:rFonts w:ascii="Calibri" w:eastAsia="Times New Roman" w:hAnsi="Calibri" w:cs="Calibri"/>
              </w:rPr>
            </w:pPr>
            <w:r>
              <w:rPr>
                <w:rFonts w:ascii="Calibri" w:eastAsia="Times New Roman" w:hAnsi="Calibri" w:cs="Calibri"/>
              </w:rPr>
              <w:t>Pass</w:t>
            </w:r>
          </w:p>
        </w:tc>
      </w:tr>
      <w:tr w:rsidR="008439A0" w:rsidRPr="00F61CD6" w14:paraId="22999A2A" w14:textId="77777777" w:rsidTr="00F61CD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E00F6" w14:textId="77777777" w:rsidR="008439A0" w:rsidRPr="00F61CD6" w:rsidRDefault="008439A0" w:rsidP="008439A0">
            <w:pPr>
              <w:spacing w:after="0" w:line="240" w:lineRule="auto"/>
              <w:rPr>
                <w:rFonts w:ascii="Calibri" w:eastAsia="Times New Roman" w:hAnsi="Calibri" w:cs="Calibri"/>
                <w:b/>
                <w:bCs/>
              </w:rPr>
            </w:pPr>
            <w:r w:rsidRPr="00F61CD6">
              <w:rPr>
                <w:rFonts w:ascii="Calibri" w:eastAsia="Times New Roman" w:hAnsi="Calibri" w:cs="Calibri"/>
                <w:b/>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8C7C2D3"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7289C9E1"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B12A38B"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Pb free: T =270°C ±5°C, Dwell=7s +2/-0</w:t>
            </w:r>
            <w:r w:rsidRPr="00F61CD6">
              <w:rPr>
                <w:rFonts w:ascii="Calibri" w:eastAsia="Times New Roman" w:hAnsi="Calibri" w:cs="Calibri"/>
              </w:rPr>
              <w:br/>
              <w:t>Sn/Pb: T =260°C ±5°C, Dwell=10s +2/-0</w:t>
            </w:r>
            <w:r w:rsidRPr="00F61CD6">
              <w:rPr>
                <w:rFonts w:ascii="Calibri" w:eastAsia="Times New Roman" w:hAnsi="Calibri" w:cs="Calibri"/>
              </w:rPr>
              <w:br/>
              <w:t>Thru-hole devices submerge to case,</w:t>
            </w:r>
            <w:r w:rsidRPr="00F61CD6">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518C711" w14:textId="3FAEAD52" w:rsidR="008439A0" w:rsidRPr="00F61CD6" w:rsidRDefault="008439A0" w:rsidP="008439A0">
            <w:pPr>
              <w:spacing w:after="0" w:line="240" w:lineRule="auto"/>
              <w:rPr>
                <w:rFonts w:ascii="Calibri" w:eastAsia="Times New Roman" w:hAnsi="Calibri" w:cs="Calibri"/>
              </w:rPr>
            </w:pPr>
            <w:r w:rsidRPr="00D54FBB">
              <w:rPr>
                <w:rFonts w:ascii="Calibri" w:eastAsia="Times New Roman" w:hAnsi="Calibri" w:cs="Calibri"/>
              </w:rPr>
              <w:t>Pass</w:t>
            </w:r>
          </w:p>
        </w:tc>
      </w:tr>
      <w:tr w:rsidR="008439A0" w:rsidRPr="00F61CD6" w14:paraId="7003A286" w14:textId="77777777" w:rsidTr="00F61CD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BFF91" w14:textId="77777777" w:rsidR="008439A0" w:rsidRPr="00F61CD6" w:rsidRDefault="008439A0" w:rsidP="008439A0">
            <w:pPr>
              <w:spacing w:after="0" w:line="240" w:lineRule="auto"/>
              <w:rPr>
                <w:rFonts w:ascii="Calibri" w:eastAsia="Times New Roman" w:hAnsi="Calibri" w:cs="Calibri"/>
                <w:b/>
                <w:bCs/>
              </w:rPr>
            </w:pPr>
            <w:r w:rsidRPr="00F61CD6">
              <w:rPr>
                <w:rFonts w:ascii="Calibri" w:eastAsia="Times New Roman" w:hAnsi="Calibri" w:cs="Calibri"/>
                <w:b/>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C48545D"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3DD942D6"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2E5D76B"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Steam Age: T=93°C +3/-5°C.</w:t>
            </w:r>
            <w:r w:rsidRPr="00F61CD6">
              <w:rPr>
                <w:rFonts w:ascii="Calibri" w:eastAsia="Times New Roman" w:hAnsi="Calibri" w:cs="Calibri"/>
              </w:rPr>
              <w:br/>
              <w:t>Non Pb-free Dip: T=215°C +/-5°C,</w:t>
            </w:r>
            <w:r w:rsidRPr="00F61CD6">
              <w:rPr>
                <w:rFonts w:ascii="Calibri" w:eastAsia="Times New Roman" w:hAnsi="Calibri" w:cs="Calibri"/>
              </w:rPr>
              <w:br/>
              <w:t>Pb-free Dip: T=245°C +/-5°C,</w:t>
            </w:r>
            <w:r w:rsidRPr="00F61CD6">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6860F3E" w14:textId="36380B18" w:rsidR="008439A0" w:rsidRPr="00F61CD6" w:rsidRDefault="008439A0" w:rsidP="008439A0">
            <w:pPr>
              <w:spacing w:after="0" w:line="240" w:lineRule="auto"/>
              <w:rPr>
                <w:rFonts w:ascii="Calibri" w:eastAsia="Times New Roman" w:hAnsi="Calibri" w:cs="Calibri"/>
              </w:rPr>
            </w:pPr>
            <w:r w:rsidRPr="00D54FBB">
              <w:rPr>
                <w:rFonts w:ascii="Calibri" w:eastAsia="Times New Roman" w:hAnsi="Calibri" w:cs="Calibri"/>
              </w:rPr>
              <w:t>Pass</w:t>
            </w:r>
          </w:p>
        </w:tc>
      </w:tr>
      <w:tr w:rsidR="008439A0" w:rsidRPr="00F61CD6" w14:paraId="702E0EB5" w14:textId="77777777" w:rsidTr="00F61CD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EE930" w14:textId="77777777" w:rsidR="008439A0" w:rsidRPr="00F61CD6" w:rsidRDefault="008439A0" w:rsidP="008439A0">
            <w:pPr>
              <w:spacing w:after="0" w:line="240" w:lineRule="auto"/>
              <w:rPr>
                <w:rFonts w:ascii="Calibri" w:eastAsia="Times New Roman" w:hAnsi="Calibri" w:cs="Calibri"/>
                <w:b/>
                <w:bCs/>
              </w:rPr>
            </w:pPr>
            <w:r w:rsidRPr="00F61CD6">
              <w:rPr>
                <w:rFonts w:ascii="Calibri" w:eastAsia="Times New Roman" w:hAnsi="Calibri" w:cs="Calibri"/>
                <w:b/>
                <w:bCs/>
              </w:rPr>
              <w:t>Bake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DC4AFAD"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D94667F"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12D107F"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8DEA35D" w14:textId="069A9E79" w:rsidR="008439A0" w:rsidRPr="00F61CD6" w:rsidRDefault="008439A0" w:rsidP="008439A0">
            <w:pPr>
              <w:spacing w:after="0" w:line="240" w:lineRule="auto"/>
              <w:rPr>
                <w:rFonts w:ascii="Calibri" w:eastAsia="Times New Roman" w:hAnsi="Calibri" w:cs="Calibri"/>
              </w:rPr>
            </w:pPr>
            <w:r w:rsidRPr="00D54FBB">
              <w:rPr>
                <w:rFonts w:ascii="Calibri" w:eastAsia="Times New Roman" w:hAnsi="Calibri" w:cs="Calibri"/>
              </w:rPr>
              <w:t>Pass</w:t>
            </w:r>
          </w:p>
        </w:tc>
      </w:tr>
      <w:tr w:rsidR="008439A0" w:rsidRPr="00F61CD6" w14:paraId="20FEB76E" w14:textId="77777777" w:rsidTr="00F61CD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7337C" w14:textId="77777777" w:rsidR="008439A0" w:rsidRPr="00F61CD6" w:rsidRDefault="008439A0" w:rsidP="008439A0">
            <w:pPr>
              <w:spacing w:after="0" w:line="240" w:lineRule="auto"/>
              <w:rPr>
                <w:rFonts w:ascii="Calibri" w:eastAsia="Times New Roman" w:hAnsi="Calibri" w:cs="Calibri"/>
                <w:b/>
                <w:bCs/>
              </w:rPr>
            </w:pPr>
            <w:r w:rsidRPr="00F61CD6">
              <w:rPr>
                <w:rFonts w:ascii="Calibri" w:eastAsia="Times New Roman" w:hAnsi="Calibri" w:cs="Calibri"/>
                <w:b/>
                <w:bCs/>
              </w:rPr>
              <w:t>HTRB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37EEE17"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780E496"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6CE2EA0"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T=125°C, t = 1000 hours</w:t>
            </w:r>
            <w:r w:rsidRPr="00F61CD6">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EDF8BB0" w14:textId="3FE6EF69" w:rsidR="008439A0" w:rsidRPr="00F61CD6" w:rsidRDefault="008439A0" w:rsidP="008439A0">
            <w:pPr>
              <w:spacing w:after="0" w:line="240" w:lineRule="auto"/>
              <w:rPr>
                <w:rFonts w:ascii="Calibri" w:eastAsia="Times New Roman" w:hAnsi="Calibri" w:cs="Calibri"/>
              </w:rPr>
            </w:pPr>
            <w:r w:rsidRPr="00D54FBB">
              <w:rPr>
                <w:rFonts w:ascii="Calibri" w:eastAsia="Times New Roman" w:hAnsi="Calibri" w:cs="Calibri"/>
              </w:rPr>
              <w:t>Pass</w:t>
            </w:r>
          </w:p>
        </w:tc>
      </w:tr>
      <w:tr w:rsidR="008439A0" w:rsidRPr="00F61CD6" w14:paraId="46C240E6" w14:textId="77777777" w:rsidTr="00F61CD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FBE4A" w14:textId="77777777" w:rsidR="008439A0" w:rsidRPr="00F61CD6" w:rsidRDefault="008439A0" w:rsidP="008439A0">
            <w:pPr>
              <w:spacing w:after="0" w:line="240" w:lineRule="auto"/>
              <w:rPr>
                <w:rFonts w:ascii="Calibri" w:eastAsia="Times New Roman" w:hAnsi="Calibri" w:cs="Calibri"/>
                <w:b/>
                <w:bCs/>
              </w:rPr>
            </w:pPr>
            <w:r w:rsidRPr="00F61CD6">
              <w:rPr>
                <w:rFonts w:ascii="Calibri" w:eastAsia="Times New Roman" w:hAnsi="Calibri" w:cs="Calibri"/>
                <w:b/>
                <w:bCs/>
              </w:rPr>
              <w:t>UHAST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AC41A16"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029ABD6"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9B21585"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T = 130°C, RH = 85%, t = 96 hrs or</w:t>
            </w:r>
            <w:r w:rsidRPr="00F61CD6">
              <w:rPr>
                <w:rFonts w:ascii="Calibri" w:eastAsia="Times New Roman" w:hAnsi="Calibri" w:cs="Calibri"/>
              </w:rPr>
              <w:b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FF074EA" w14:textId="3037C90C" w:rsidR="008439A0" w:rsidRPr="00F61CD6" w:rsidRDefault="008439A0" w:rsidP="008439A0">
            <w:pPr>
              <w:spacing w:after="0" w:line="240" w:lineRule="auto"/>
              <w:rPr>
                <w:rFonts w:ascii="Calibri" w:eastAsia="Times New Roman" w:hAnsi="Calibri" w:cs="Calibri"/>
              </w:rPr>
            </w:pPr>
            <w:r w:rsidRPr="00D54FBB">
              <w:rPr>
                <w:rFonts w:ascii="Calibri" w:eastAsia="Times New Roman" w:hAnsi="Calibri" w:cs="Calibri"/>
              </w:rPr>
              <w:t>Pass</w:t>
            </w:r>
          </w:p>
        </w:tc>
      </w:tr>
      <w:tr w:rsidR="008439A0" w:rsidRPr="00F61CD6" w14:paraId="561F7585" w14:textId="77777777" w:rsidTr="00F61CD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09631" w14:textId="77777777" w:rsidR="008439A0" w:rsidRPr="00F61CD6" w:rsidRDefault="008439A0" w:rsidP="008439A0">
            <w:pPr>
              <w:spacing w:after="0" w:line="240" w:lineRule="auto"/>
              <w:rPr>
                <w:rFonts w:ascii="Calibri" w:eastAsia="Times New Roman" w:hAnsi="Calibri" w:cs="Calibri"/>
                <w:b/>
                <w:bCs/>
              </w:rPr>
            </w:pPr>
            <w:r w:rsidRPr="00F61CD6">
              <w:rPr>
                <w:rFonts w:ascii="Calibri" w:eastAsia="Times New Roman" w:hAnsi="Calibri" w:cs="Calibri"/>
                <w:b/>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9CE9916"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5D3BF2D"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75A078C"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1000 cycles. Dwell time = 15 min</w:t>
            </w:r>
            <w:r w:rsidRPr="00F61CD6">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3E07CC6" w14:textId="19D00828" w:rsidR="008439A0" w:rsidRPr="00F61CD6" w:rsidRDefault="008439A0" w:rsidP="008439A0">
            <w:pPr>
              <w:spacing w:after="0" w:line="240" w:lineRule="auto"/>
              <w:rPr>
                <w:rFonts w:ascii="Calibri" w:eastAsia="Times New Roman" w:hAnsi="Calibri" w:cs="Calibri"/>
              </w:rPr>
            </w:pPr>
            <w:r w:rsidRPr="00D54FBB">
              <w:rPr>
                <w:rFonts w:ascii="Calibri" w:eastAsia="Times New Roman" w:hAnsi="Calibri" w:cs="Calibri"/>
              </w:rPr>
              <w:t>Pass</w:t>
            </w:r>
          </w:p>
        </w:tc>
      </w:tr>
      <w:tr w:rsidR="008439A0" w:rsidRPr="00F61CD6" w14:paraId="1F68C44C" w14:textId="77777777" w:rsidTr="00F61CD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C54FF" w14:textId="77777777" w:rsidR="008439A0" w:rsidRPr="00F61CD6" w:rsidRDefault="008439A0" w:rsidP="008439A0">
            <w:pPr>
              <w:spacing w:after="0" w:line="240" w:lineRule="auto"/>
              <w:rPr>
                <w:rFonts w:ascii="Calibri" w:eastAsia="Times New Roman" w:hAnsi="Calibri" w:cs="Calibri"/>
                <w:b/>
                <w:bCs/>
              </w:rPr>
            </w:pPr>
            <w:r w:rsidRPr="00F61CD6">
              <w:rPr>
                <w:rFonts w:ascii="Calibri" w:eastAsia="Times New Roman" w:hAnsi="Calibri" w:cs="Calibri"/>
                <w:b/>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88580C4"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4A9E002"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403697E"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1F2EC87" w14:textId="0B4DFBB6" w:rsidR="008439A0" w:rsidRPr="00F61CD6" w:rsidRDefault="008439A0" w:rsidP="008439A0">
            <w:pPr>
              <w:spacing w:after="0" w:line="240" w:lineRule="auto"/>
              <w:rPr>
                <w:rFonts w:ascii="Calibri" w:eastAsia="Times New Roman" w:hAnsi="Calibri" w:cs="Calibri"/>
              </w:rPr>
            </w:pPr>
            <w:r w:rsidRPr="00D54FBB">
              <w:rPr>
                <w:rFonts w:ascii="Calibri" w:eastAsia="Times New Roman" w:hAnsi="Calibri" w:cs="Calibri"/>
              </w:rPr>
              <w:t>Pass</w:t>
            </w:r>
          </w:p>
        </w:tc>
      </w:tr>
      <w:tr w:rsidR="008439A0" w:rsidRPr="00F61CD6" w14:paraId="3E95D43D" w14:textId="77777777" w:rsidTr="00F61CD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F5581" w14:textId="77777777" w:rsidR="008439A0" w:rsidRPr="00F61CD6" w:rsidRDefault="008439A0" w:rsidP="008439A0">
            <w:pPr>
              <w:spacing w:after="0" w:line="240" w:lineRule="auto"/>
              <w:rPr>
                <w:rFonts w:ascii="Calibri" w:eastAsia="Times New Roman" w:hAnsi="Calibri" w:cs="Calibri"/>
                <w:b/>
                <w:bCs/>
              </w:rPr>
            </w:pPr>
            <w:r w:rsidRPr="00F61CD6">
              <w:rPr>
                <w:rFonts w:ascii="Calibri" w:eastAsia="Times New Roman" w:hAnsi="Calibri" w:cs="Calibri"/>
                <w:b/>
                <w:bCs/>
              </w:rPr>
              <w:t>THB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5BFEAB0"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E9B3DF2"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4A46F37" w14:textId="77777777" w:rsidR="008439A0" w:rsidRPr="00F61CD6" w:rsidRDefault="008439A0" w:rsidP="008439A0">
            <w:pPr>
              <w:spacing w:after="0" w:line="240" w:lineRule="auto"/>
              <w:rPr>
                <w:rFonts w:ascii="Calibri" w:eastAsia="Times New Roman" w:hAnsi="Calibri" w:cs="Calibri"/>
              </w:rPr>
            </w:pPr>
            <w:r w:rsidRPr="00F61CD6">
              <w:rPr>
                <w:rFonts w:ascii="Calibri" w:eastAsia="Times New Roman" w:hAnsi="Calibri" w:cs="Calibri"/>
              </w:rPr>
              <w:t>T = 85°C, RH = 85%, t = 1000 hrs</w:t>
            </w:r>
            <w:r w:rsidRPr="00F61CD6">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34B6606" w14:textId="1E02EE16" w:rsidR="008439A0" w:rsidRPr="00F61CD6" w:rsidRDefault="008439A0" w:rsidP="008439A0">
            <w:pPr>
              <w:spacing w:after="0" w:line="240" w:lineRule="auto"/>
              <w:rPr>
                <w:rFonts w:ascii="Calibri" w:eastAsia="Times New Roman" w:hAnsi="Calibri" w:cs="Calibri"/>
              </w:rPr>
            </w:pPr>
            <w:r w:rsidRPr="00D54FBB">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footerReference w:type="default" r:id="rId9"/>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5B26F933">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62DF2FCA" w:rsidR="00C7361B" w:rsidRDefault="003B18CA">
          <w:pPr>
            <w:pStyle w:val="Footer"/>
          </w:pPr>
          <w:r>
            <w:t>DO-15</w:t>
          </w:r>
        </w:p>
      </w:tc>
      <w:tc>
        <w:tcPr>
          <w:tcW w:w="2070" w:type="dxa"/>
        </w:tcPr>
        <w:p w14:paraId="05423B50" w14:textId="77777777" w:rsidR="00C7361B" w:rsidRDefault="00C7361B">
          <w:pPr>
            <w:pStyle w:val="Footer"/>
            <w:rPr>
              <w:sz w:val="20"/>
            </w:rPr>
          </w:pPr>
          <w:r>
            <w:rPr>
              <w:sz w:val="20"/>
            </w:rPr>
            <w:t>Submitted by:</w:t>
          </w:r>
        </w:p>
        <w:p w14:paraId="2A31343B" w14:textId="755AAE03" w:rsidR="00C7361B" w:rsidRDefault="003B18CA">
          <w:pPr>
            <w:pStyle w:val="Footer"/>
            <w:rPr>
              <w:sz w:val="20"/>
            </w:rPr>
          </w:pPr>
          <w:r>
            <w:rPr>
              <w:sz w:val="20"/>
            </w:rPr>
            <w:t>Shawn Pottor</w:t>
          </w:r>
          <w:r w:rsidR="00F61CD6">
            <w:rPr>
              <w:sz w:val="20"/>
            </w:rPr>
            <w:t>f</w:t>
          </w:r>
        </w:p>
        <w:p w14:paraId="58EA1BCA" w14:textId="527660C5" w:rsidR="003B18CA" w:rsidRDefault="00F61CD6">
          <w:pPr>
            <w:pStyle w:val="Footer"/>
            <w:rPr>
              <w:sz w:val="20"/>
            </w:rPr>
          </w:pPr>
          <w:r>
            <w:rPr>
              <w:sz w:val="20"/>
            </w:rPr>
            <w:t>5/26/2022</w:t>
          </w:r>
        </w:p>
      </w:tc>
      <w:tc>
        <w:tcPr>
          <w:tcW w:w="2162" w:type="dxa"/>
        </w:tcPr>
        <w:p w14:paraId="28390946" w14:textId="77777777" w:rsidR="00C7361B" w:rsidRDefault="00C7361B">
          <w:pPr>
            <w:pStyle w:val="Footer"/>
            <w:rPr>
              <w:sz w:val="20"/>
            </w:rPr>
          </w:pPr>
          <w:r>
            <w:rPr>
              <w:sz w:val="20"/>
            </w:rPr>
            <w:t>Approved by:</w:t>
          </w:r>
        </w:p>
        <w:p w14:paraId="576528EB" w14:textId="77777777" w:rsidR="00C7361B" w:rsidRDefault="00F61CD6">
          <w:pPr>
            <w:pStyle w:val="Footer"/>
            <w:rPr>
              <w:sz w:val="20"/>
            </w:rPr>
          </w:pPr>
          <w:r>
            <w:rPr>
              <w:sz w:val="20"/>
            </w:rPr>
            <w:t>D. Robinson</w:t>
          </w:r>
        </w:p>
        <w:p w14:paraId="2F2583B2" w14:textId="53A4C526" w:rsidR="007302DB" w:rsidRDefault="007302DB">
          <w:pPr>
            <w:pStyle w:val="Footer"/>
            <w:rPr>
              <w:sz w:val="20"/>
            </w:rPr>
          </w:pPr>
          <w:r>
            <w:rPr>
              <w:sz w:val="20"/>
            </w:rPr>
            <w:t>6/1/2022</w:t>
          </w:r>
        </w:p>
      </w:tc>
      <w:tc>
        <w:tcPr>
          <w:tcW w:w="1348" w:type="dxa"/>
          <w:vAlign w:val="center"/>
        </w:tcPr>
        <w:p w14:paraId="32D597BE" w14:textId="5F2EB6A8" w:rsidR="00C7361B" w:rsidRDefault="00C7361B" w:rsidP="00C7361B">
          <w:pPr>
            <w:pStyle w:val="Footer"/>
            <w:jc w:val="center"/>
            <w:rPr>
              <w:sz w:val="20"/>
            </w:rPr>
          </w:pPr>
          <w:r w:rsidRPr="00B70316">
            <w:rPr>
              <w:sz w:val="24"/>
              <w:szCs w:val="24"/>
            </w:rPr>
            <w:t>R</w:t>
          </w:r>
          <w:r>
            <w:rPr>
              <w:sz w:val="24"/>
              <w:szCs w:val="24"/>
            </w:rPr>
            <w:t>0</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113299"/>
    <w:rsid w:val="00131296"/>
    <w:rsid w:val="001939A1"/>
    <w:rsid w:val="00216F22"/>
    <w:rsid w:val="0024652E"/>
    <w:rsid w:val="00251182"/>
    <w:rsid w:val="002C5E80"/>
    <w:rsid w:val="002D6F1B"/>
    <w:rsid w:val="002E660C"/>
    <w:rsid w:val="002F1F5E"/>
    <w:rsid w:val="003006C2"/>
    <w:rsid w:val="00333801"/>
    <w:rsid w:val="003341A7"/>
    <w:rsid w:val="00371B5B"/>
    <w:rsid w:val="003B18CA"/>
    <w:rsid w:val="0047149A"/>
    <w:rsid w:val="004F7E53"/>
    <w:rsid w:val="005434EC"/>
    <w:rsid w:val="00546DA2"/>
    <w:rsid w:val="00552AC7"/>
    <w:rsid w:val="00564C24"/>
    <w:rsid w:val="00572F24"/>
    <w:rsid w:val="005829A2"/>
    <w:rsid w:val="00601486"/>
    <w:rsid w:val="00661D37"/>
    <w:rsid w:val="006C7093"/>
    <w:rsid w:val="00717F12"/>
    <w:rsid w:val="007302DB"/>
    <w:rsid w:val="0074499E"/>
    <w:rsid w:val="00793B3A"/>
    <w:rsid w:val="007F2F2D"/>
    <w:rsid w:val="008439A0"/>
    <w:rsid w:val="00850C2A"/>
    <w:rsid w:val="008C2CD6"/>
    <w:rsid w:val="0090616F"/>
    <w:rsid w:val="0093087A"/>
    <w:rsid w:val="00956A4D"/>
    <w:rsid w:val="00961285"/>
    <w:rsid w:val="009712A1"/>
    <w:rsid w:val="00975D42"/>
    <w:rsid w:val="00A37C64"/>
    <w:rsid w:val="00A56EAA"/>
    <w:rsid w:val="00A7270B"/>
    <w:rsid w:val="00AB1FBB"/>
    <w:rsid w:val="00AC54F9"/>
    <w:rsid w:val="00AD4010"/>
    <w:rsid w:val="00AF2050"/>
    <w:rsid w:val="00B26BC4"/>
    <w:rsid w:val="00B70316"/>
    <w:rsid w:val="00BA267A"/>
    <w:rsid w:val="00BA5B0A"/>
    <w:rsid w:val="00BC5596"/>
    <w:rsid w:val="00BD0436"/>
    <w:rsid w:val="00C46451"/>
    <w:rsid w:val="00C7361B"/>
    <w:rsid w:val="00CE4AAD"/>
    <w:rsid w:val="00CF2A83"/>
    <w:rsid w:val="00D03807"/>
    <w:rsid w:val="00D3010F"/>
    <w:rsid w:val="00D476EC"/>
    <w:rsid w:val="00D906B6"/>
    <w:rsid w:val="00DA0B75"/>
    <w:rsid w:val="00DB5ABC"/>
    <w:rsid w:val="00DC0730"/>
    <w:rsid w:val="00E35CDD"/>
    <w:rsid w:val="00E71495"/>
    <w:rsid w:val="00E842EE"/>
    <w:rsid w:val="00EF1111"/>
    <w:rsid w:val="00EF2A29"/>
    <w:rsid w:val="00F21FC6"/>
    <w:rsid w:val="00F22EEC"/>
    <w:rsid w:val="00F27817"/>
    <w:rsid w:val="00F523B2"/>
    <w:rsid w:val="00F61CD6"/>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4094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1998</Words>
  <Characters>11395</Characters>
  <Application>Microsoft Office Word</Application>
  <DocSecurity>8</DocSecurity>
  <Lines>94</Lines>
  <Paragraphs>26</Paragraphs>
  <ScaleCrop>false</ScaleCrop>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2023-06-01T16:40:00Z</dcterms:created>
  <dcterms:modified xsi:type="dcterms:W3CDTF">2023-06-01T16:40:00Z</dcterms:modified>
</cp:coreProperties>
</file>