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18E24" w14:textId="77777777" w:rsidR="00BD0436" w:rsidRDefault="00BD0436" w:rsidP="00131296">
      <w:pPr>
        <w:spacing w:after="0"/>
        <w:jc w:val="center"/>
        <w:rPr>
          <w:b/>
          <w:sz w:val="56"/>
          <w:szCs w:val="56"/>
        </w:rPr>
      </w:pPr>
      <w:r>
        <w:rPr>
          <w:noProof/>
        </w:rPr>
        <w:drawing>
          <wp:inline distT="0" distB="0" distL="0" distR="0" wp14:anchorId="094780DD" wp14:editId="5DFCD4C8">
            <wp:extent cx="2679178" cy="168405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679178" cy="1684055"/>
                    </a:xfrm>
                    <a:prstGeom prst="rect">
                      <a:avLst/>
                    </a:prstGeom>
                    <a:noFill/>
                    <a:ln>
                      <a:noFill/>
                    </a:ln>
                  </pic:spPr>
                </pic:pic>
              </a:graphicData>
            </a:graphic>
          </wp:inline>
        </w:drawing>
      </w:r>
    </w:p>
    <w:p w14:paraId="0606E568" w14:textId="77777777" w:rsidR="00BD0436" w:rsidRDefault="00BD0436" w:rsidP="00131296">
      <w:pPr>
        <w:spacing w:after="0"/>
        <w:jc w:val="center"/>
        <w:rPr>
          <w:b/>
          <w:sz w:val="56"/>
          <w:szCs w:val="56"/>
        </w:rPr>
      </w:pPr>
    </w:p>
    <w:p w14:paraId="519B7097" w14:textId="77777777" w:rsidR="00BD0436" w:rsidRDefault="00BD0436" w:rsidP="00131296">
      <w:pPr>
        <w:spacing w:after="0"/>
        <w:jc w:val="center"/>
        <w:rPr>
          <w:b/>
          <w:sz w:val="56"/>
          <w:szCs w:val="56"/>
        </w:rPr>
      </w:pPr>
    </w:p>
    <w:p w14:paraId="533B3855" w14:textId="77777777" w:rsidR="00BD0436" w:rsidRDefault="00BD0436" w:rsidP="00131296">
      <w:pPr>
        <w:spacing w:after="0"/>
        <w:jc w:val="center"/>
        <w:rPr>
          <w:b/>
          <w:sz w:val="56"/>
          <w:szCs w:val="56"/>
        </w:rPr>
      </w:pPr>
    </w:p>
    <w:p w14:paraId="21ECE8CD" w14:textId="56DE8226" w:rsidR="00131296" w:rsidRPr="00BD0436" w:rsidRDefault="002D08D2" w:rsidP="00131296">
      <w:pPr>
        <w:spacing w:after="0"/>
        <w:jc w:val="center"/>
        <w:rPr>
          <w:b/>
          <w:sz w:val="56"/>
          <w:szCs w:val="56"/>
        </w:rPr>
      </w:pPr>
      <w:r>
        <w:rPr>
          <w:b/>
          <w:sz w:val="56"/>
          <w:szCs w:val="56"/>
        </w:rPr>
        <w:t>Package</w:t>
      </w:r>
      <w:r w:rsidR="00131296" w:rsidRPr="00BD0436">
        <w:rPr>
          <w:b/>
          <w:sz w:val="56"/>
          <w:szCs w:val="56"/>
        </w:rPr>
        <w:t xml:space="preserve"> Qualification Summary</w:t>
      </w:r>
    </w:p>
    <w:p w14:paraId="18ABC4BC" w14:textId="77777777" w:rsidR="00131296" w:rsidRPr="00131296" w:rsidRDefault="00131296" w:rsidP="00131296">
      <w:pPr>
        <w:spacing w:after="0"/>
        <w:jc w:val="center"/>
        <w:rPr>
          <w:sz w:val="36"/>
        </w:rPr>
      </w:pPr>
    </w:p>
    <w:p w14:paraId="10A725FC" w14:textId="482D58A6" w:rsidR="00131296" w:rsidRPr="00216F22" w:rsidRDefault="00131296" w:rsidP="00131296">
      <w:pPr>
        <w:spacing w:after="0"/>
        <w:jc w:val="center"/>
        <w:rPr>
          <w:sz w:val="24"/>
          <w:szCs w:val="24"/>
        </w:rPr>
      </w:pPr>
      <w:r w:rsidRPr="00216F22">
        <w:rPr>
          <w:sz w:val="24"/>
          <w:szCs w:val="24"/>
        </w:rPr>
        <w:t xml:space="preserve">Package: </w:t>
      </w:r>
      <w:r w:rsidR="00AE0C91">
        <w:rPr>
          <w:sz w:val="24"/>
          <w:szCs w:val="24"/>
        </w:rPr>
        <w:t>SOT-23</w:t>
      </w:r>
    </w:p>
    <w:p w14:paraId="7768E52C" w14:textId="77777777" w:rsidR="00131296" w:rsidRDefault="00131296" w:rsidP="00131296">
      <w:pPr>
        <w:spacing w:after="0"/>
        <w:jc w:val="center"/>
      </w:pPr>
    </w:p>
    <w:p w14:paraId="66856FBD" w14:textId="70A8B60E" w:rsidR="00131296" w:rsidRDefault="0006747E" w:rsidP="00131296">
      <w:pPr>
        <w:jc w:val="center"/>
      </w:pPr>
      <w:r>
        <w:rPr>
          <w:noProof/>
        </w:rPr>
        <w:drawing>
          <wp:inline distT="0" distB="0" distL="0" distR="0" wp14:anchorId="135D33FF" wp14:editId="40E77212">
            <wp:extent cx="1005840" cy="786554"/>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2709" t="2" r="54516" b="85914"/>
                    <a:stretch/>
                  </pic:blipFill>
                  <pic:spPr bwMode="auto">
                    <a:xfrm>
                      <a:off x="0" y="0"/>
                      <a:ext cx="1005840" cy="786554"/>
                    </a:xfrm>
                    <a:prstGeom prst="rect">
                      <a:avLst/>
                    </a:prstGeom>
                    <a:ln>
                      <a:noFill/>
                    </a:ln>
                    <a:extLst>
                      <a:ext uri="{53640926-AAD7-44D8-BBD7-CCE9431645EC}">
                        <a14:shadowObscured xmlns:a14="http://schemas.microsoft.com/office/drawing/2010/main"/>
                      </a:ext>
                    </a:extLst>
                  </pic:spPr>
                </pic:pic>
              </a:graphicData>
            </a:graphic>
          </wp:inline>
        </w:drawing>
      </w:r>
    </w:p>
    <w:p w14:paraId="281C8C04" w14:textId="77777777" w:rsidR="00131296" w:rsidRDefault="00131296"/>
    <w:p w14:paraId="6A342D92" w14:textId="77777777" w:rsidR="005829A2" w:rsidRDefault="005829A2">
      <w:r>
        <w:br w:type="page"/>
      </w:r>
    </w:p>
    <w:p w14:paraId="6EC53C1D" w14:textId="77777777" w:rsidR="00131296" w:rsidRPr="00BD0436" w:rsidRDefault="00131296" w:rsidP="00131296">
      <w:pPr>
        <w:spacing w:after="0"/>
        <w:rPr>
          <w:rFonts w:cs="Arial"/>
          <w:b/>
          <w:u w:val="single"/>
        </w:rPr>
      </w:pPr>
      <w:r w:rsidRPr="00BD0436">
        <w:rPr>
          <w:rFonts w:cs="Arial"/>
          <w:b/>
          <w:u w:val="single"/>
        </w:rPr>
        <w:lastRenderedPageBreak/>
        <w:t>Scope</w:t>
      </w:r>
    </w:p>
    <w:p w14:paraId="1FA00AF7" w14:textId="77777777" w:rsidR="00131296" w:rsidRPr="00F117C0" w:rsidRDefault="00131296" w:rsidP="00131296">
      <w:pPr>
        <w:spacing w:after="0"/>
        <w:ind w:left="720"/>
        <w:rPr>
          <w:rFonts w:cs="Arial"/>
        </w:rPr>
      </w:pPr>
    </w:p>
    <w:p w14:paraId="59D164E5" w14:textId="66C1B69D" w:rsidR="00131296" w:rsidRPr="00F117C0" w:rsidRDefault="00131296" w:rsidP="00131296">
      <w:pPr>
        <w:spacing w:after="0"/>
        <w:rPr>
          <w:rFonts w:cs="Arial"/>
        </w:rPr>
      </w:pPr>
      <w:r w:rsidRPr="00F117C0">
        <w:rPr>
          <w:rFonts w:cs="Arial"/>
        </w:rPr>
        <w:t xml:space="preserve">This document summarizes the </w:t>
      </w:r>
      <w:r w:rsidR="002D08D2">
        <w:rPr>
          <w:rFonts w:cs="Arial"/>
        </w:rPr>
        <w:t>Package</w:t>
      </w:r>
      <w:r w:rsidRPr="00F117C0">
        <w:rPr>
          <w:rFonts w:cs="Arial"/>
        </w:rPr>
        <w:t xml:space="preserve"> Qualification and reliability tests applied to the Central Semiconductor </w:t>
      </w:r>
      <w:r w:rsidR="005434EC">
        <w:rPr>
          <w:rFonts w:cs="Arial"/>
        </w:rPr>
        <w:t xml:space="preserve">package </w:t>
      </w:r>
      <w:r w:rsidRPr="00F117C0">
        <w:rPr>
          <w:rFonts w:cs="Arial"/>
        </w:rPr>
        <w:t xml:space="preserve">specified. The tests performed are capable of inducing semiconductor device and packaging related failures. The objective of these harsh tests is to determine whether failures occur in an accelerated manner compared to normal use conditions for a representative sample size. Passing all appropriate reliability tests (no failures) for a representative sample size Qualifies the </w:t>
      </w:r>
      <w:r w:rsidR="005434EC">
        <w:rPr>
          <w:rFonts w:cs="Arial"/>
        </w:rPr>
        <w:t>package</w:t>
      </w:r>
      <w:r w:rsidRPr="00F117C0">
        <w:rPr>
          <w:rFonts w:cs="Arial"/>
        </w:rPr>
        <w:t>. This Qualification summary is a generic qualification for a range of use conditions and is not applicable at extreme use conditions, for example military applications, automotive under-the-hood applications, uncontrolled avionics environments, or 2nd level reliability considerations.</w:t>
      </w:r>
    </w:p>
    <w:p w14:paraId="511883C0" w14:textId="77777777" w:rsidR="00131296" w:rsidRPr="00F117C0" w:rsidRDefault="00131296" w:rsidP="00131296">
      <w:pPr>
        <w:spacing w:after="0"/>
        <w:rPr>
          <w:b/>
          <w:sz w:val="24"/>
        </w:rPr>
      </w:pPr>
    </w:p>
    <w:p w14:paraId="34833F6E" w14:textId="77777777" w:rsidR="00131296" w:rsidRPr="00BD0436" w:rsidRDefault="00131296" w:rsidP="00131296">
      <w:pPr>
        <w:spacing w:after="0"/>
        <w:rPr>
          <w:b/>
          <w:u w:val="single"/>
        </w:rPr>
      </w:pPr>
      <w:r w:rsidRPr="00BD0436">
        <w:rPr>
          <w:b/>
          <w:u w:val="single"/>
        </w:rPr>
        <w:t>Qualification Test Descriptions</w:t>
      </w:r>
    </w:p>
    <w:p w14:paraId="2A254145" w14:textId="77777777" w:rsidR="00131296" w:rsidRPr="00F117C0" w:rsidRDefault="00131296" w:rsidP="00131296">
      <w:pPr>
        <w:spacing w:after="0"/>
      </w:pPr>
    </w:p>
    <w:p w14:paraId="7245B387" w14:textId="77777777" w:rsidR="00131296" w:rsidRPr="00F117C0" w:rsidRDefault="00131296" w:rsidP="00131296">
      <w:pPr>
        <w:spacing w:after="0"/>
      </w:pPr>
      <w:r w:rsidRPr="00F117C0">
        <w:t>The description of Qualification Tests listed below are provided as a summary. Refer to the applicable specification indicated in parenthesis for additional details.</w:t>
      </w:r>
    </w:p>
    <w:p w14:paraId="77053C79" w14:textId="77777777" w:rsidR="00131296" w:rsidRPr="00F117C0" w:rsidRDefault="00131296" w:rsidP="00131296">
      <w:pPr>
        <w:spacing w:after="0"/>
      </w:pPr>
    </w:p>
    <w:p w14:paraId="1EEDE6AB" w14:textId="77777777" w:rsidR="00131296" w:rsidRPr="00F117C0" w:rsidRDefault="00131296" w:rsidP="00131296">
      <w:pPr>
        <w:spacing w:after="0"/>
      </w:pPr>
      <w:r w:rsidRPr="00BD0436">
        <w:rPr>
          <w:b/>
        </w:rPr>
        <w:t>External Visual Inspection</w:t>
      </w:r>
      <w:r w:rsidRPr="00F117C0">
        <w:t xml:space="preserve"> (JESD22-B101)</w:t>
      </w:r>
    </w:p>
    <w:p w14:paraId="27B6F993" w14:textId="77777777" w:rsidR="00131296" w:rsidRPr="00F117C0" w:rsidRDefault="00131296" w:rsidP="00131296">
      <w:pPr>
        <w:spacing w:after="0"/>
      </w:pPr>
      <w:r w:rsidRPr="00F117C0">
        <w:t xml:space="preserve">An examination of the external surfaces, construction, marking, and workmanship of a finished package or component. External visual is a noninvasive and nondestructive test. </w:t>
      </w:r>
    </w:p>
    <w:p w14:paraId="319152DF" w14:textId="77777777" w:rsidR="00131296" w:rsidRPr="00F117C0" w:rsidRDefault="00131296" w:rsidP="00131296">
      <w:pPr>
        <w:spacing w:after="0"/>
      </w:pPr>
    </w:p>
    <w:p w14:paraId="2F250004" w14:textId="77777777" w:rsidR="00131296" w:rsidRPr="00F117C0" w:rsidRDefault="00131296" w:rsidP="00131296">
      <w:pPr>
        <w:spacing w:after="0"/>
      </w:pPr>
      <w:r w:rsidRPr="00BD0436">
        <w:rPr>
          <w:b/>
        </w:rPr>
        <w:t>Physical Dimensions</w:t>
      </w:r>
      <w:r w:rsidRPr="00F117C0">
        <w:t xml:space="preserve"> (JESD22-B100)</w:t>
      </w:r>
    </w:p>
    <w:p w14:paraId="397E6C79" w14:textId="77777777" w:rsidR="00131296" w:rsidRPr="00F117C0" w:rsidRDefault="00131296" w:rsidP="00131296">
      <w:pPr>
        <w:spacing w:after="0"/>
      </w:pPr>
      <w:r w:rsidRPr="00F117C0">
        <w:t>The purpose of this test is to determine whether the external physical dimensions of the device, in all package configurations, are in accordance with the applicable procurement document. The physical dimensions test is nondestructive.</w:t>
      </w:r>
    </w:p>
    <w:p w14:paraId="421441B0" w14:textId="77777777" w:rsidR="00131296" w:rsidRPr="00F117C0" w:rsidRDefault="00131296" w:rsidP="00131296">
      <w:pPr>
        <w:spacing w:after="0"/>
      </w:pPr>
    </w:p>
    <w:p w14:paraId="1E28CDB6" w14:textId="77777777" w:rsidR="00131296" w:rsidRPr="00F117C0" w:rsidRDefault="00131296" w:rsidP="00131296">
      <w:pPr>
        <w:spacing w:after="0"/>
      </w:pPr>
      <w:r w:rsidRPr="00BD0436">
        <w:rPr>
          <w:b/>
        </w:rPr>
        <w:t>Marking Permanency</w:t>
      </w:r>
      <w:r w:rsidRPr="00F117C0">
        <w:t xml:space="preserve"> (JESD22-B107) – Only applicable for devices marked with ink</w:t>
      </w:r>
    </w:p>
    <w:p w14:paraId="1E68919E" w14:textId="77777777" w:rsidR="00131296" w:rsidRPr="00F117C0" w:rsidRDefault="00131296" w:rsidP="00131296">
      <w:pPr>
        <w:spacing w:after="0"/>
      </w:pPr>
      <w:r w:rsidRPr="00F117C0">
        <w:t>The mark permanency test subjects package marking to solvents and cleaning solution commonly used for removing solder flux on circuit boards to ensure the marking will not become illegible. Devices and a brush are immersed into one of three specified solvents for one minute, and then removed. The devices are then brushed ten strokes. After they are rinsed and dried, the devices are examined for legibility according to specified criteria.</w:t>
      </w:r>
    </w:p>
    <w:p w14:paraId="2CA70D5A" w14:textId="77777777" w:rsidR="00131296" w:rsidRPr="00F117C0" w:rsidRDefault="00131296" w:rsidP="00131296">
      <w:pPr>
        <w:spacing w:after="0"/>
      </w:pPr>
    </w:p>
    <w:p w14:paraId="1FB7FCF4" w14:textId="77777777" w:rsidR="00131296" w:rsidRPr="00F117C0" w:rsidRDefault="00131296" w:rsidP="00131296">
      <w:pPr>
        <w:spacing w:after="0"/>
      </w:pPr>
      <w:r w:rsidRPr="00BD0436">
        <w:rPr>
          <w:b/>
        </w:rPr>
        <w:t>Lead Integrity</w:t>
      </w:r>
      <w:r w:rsidRPr="00F117C0">
        <w:t xml:space="preserve"> (JESD22-B105)</w:t>
      </w:r>
    </w:p>
    <w:p w14:paraId="706FEC83" w14:textId="77777777" w:rsidR="00131296" w:rsidRPr="00F117C0" w:rsidRDefault="00131296" w:rsidP="00131296">
      <w:pPr>
        <w:spacing w:after="0"/>
      </w:pPr>
      <w:r w:rsidRPr="00F117C0">
        <w:t>The lead integrity test provides tests for determining the integrity of devices leads, welds and seals. Devices are subjected to various stresses including tension, bending fatigue and torque appropriate to the type of lead. Devices are then examined under optical microscope to determine any evidence of breakage, loosening or motion between the terminal and device body.</w:t>
      </w:r>
    </w:p>
    <w:p w14:paraId="10D14F8F" w14:textId="77777777" w:rsidR="00131296" w:rsidRPr="00F117C0" w:rsidRDefault="00131296" w:rsidP="00131296">
      <w:pPr>
        <w:spacing w:after="0"/>
      </w:pPr>
    </w:p>
    <w:p w14:paraId="48E5DF11" w14:textId="77777777" w:rsidR="00131296" w:rsidRPr="00F117C0" w:rsidRDefault="00131296" w:rsidP="00131296">
      <w:pPr>
        <w:spacing w:after="0"/>
      </w:pPr>
      <w:r w:rsidRPr="00BD0436">
        <w:rPr>
          <w:b/>
        </w:rPr>
        <w:t>Co-planarity</w:t>
      </w:r>
      <w:r w:rsidRPr="00F117C0">
        <w:t xml:space="preserve"> (JESD22-B108) </w:t>
      </w:r>
    </w:p>
    <w:p w14:paraId="35AB58E8" w14:textId="77777777" w:rsidR="00131296" w:rsidRPr="00F117C0" w:rsidRDefault="00131296" w:rsidP="00131296">
      <w:pPr>
        <w:spacing w:after="0"/>
      </w:pPr>
      <w:r w:rsidRPr="00F117C0">
        <w:t>The purpose of this test is to measure the deviation of the terminals (leads or solder balls) from co-planarity at room temperature for surface-mount semiconductor devices.</w:t>
      </w:r>
    </w:p>
    <w:p w14:paraId="097E8BEF" w14:textId="77777777" w:rsidR="00131296" w:rsidRPr="00F117C0" w:rsidRDefault="00131296" w:rsidP="00131296">
      <w:pPr>
        <w:spacing w:after="0"/>
      </w:pPr>
    </w:p>
    <w:p w14:paraId="56CB0685" w14:textId="77777777" w:rsidR="00131296" w:rsidRPr="00F117C0" w:rsidRDefault="00131296" w:rsidP="00131296">
      <w:pPr>
        <w:spacing w:after="0"/>
      </w:pPr>
      <w:r w:rsidRPr="00BD0436">
        <w:rPr>
          <w:b/>
        </w:rPr>
        <w:t>Internal Visual Inspection</w:t>
      </w:r>
      <w:r w:rsidRPr="00F117C0">
        <w:t xml:space="preserve"> (MIL-STD-750 method 2075) </w:t>
      </w:r>
    </w:p>
    <w:p w14:paraId="45C60D15" w14:textId="77777777" w:rsidR="00131296" w:rsidRPr="00F117C0" w:rsidRDefault="00131296" w:rsidP="00131296">
      <w:pPr>
        <w:spacing w:after="0"/>
      </w:pPr>
      <w:r w:rsidRPr="00F117C0">
        <w:t>The purpose of this examination is to verify that internal materials, design and construction are in accordance with the applicable acquisition document. The device shall be examined under a sufficient magnification to verify the requirements as per applicable design documentation.</w:t>
      </w:r>
    </w:p>
    <w:p w14:paraId="59F0C6A1" w14:textId="77777777" w:rsidR="00131296" w:rsidRPr="00F117C0" w:rsidRDefault="00131296" w:rsidP="00131296">
      <w:pPr>
        <w:spacing w:after="0"/>
      </w:pPr>
    </w:p>
    <w:p w14:paraId="0500ECD4" w14:textId="77777777" w:rsidR="00131296" w:rsidRPr="00F117C0" w:rsidRDefault="00131296" w:rsidP="00131296">
      <w:pPr>
        <w:spacing w:after="0"/>
      </w:pPr>
      <w:r w:rsidRPr="00BD0436">
        <w:rPr>
          <w:b/>
        </w:rPr>
        <w:t>Bond Strength</w:t>
      </w:r>
      <w:r w:rsidRPr="00F117C0">
        <w:t xml:space="preserve"> </w:t>
      </w:r>
      <w:r w:rsidRPr="00BD0436">
        <w:rPr>
          <w:b/>
        </w:rPr>
        <w:t>- Wire Pull</w:t>
      </w:r>
      <w:r w:rsidRPr="00F117C0">
        <w:t xml:space="preserve"> (MIL-STD-750 method 2037 test condition C/D) </w:t>
      </w:r>
    </w:p>
    <w:p w14:paraId="0F8A286E" w14:textId="77777777" w:rsidR="00131296" w:rsidRPr="00F117C0" w:rsidRDefault="00131296" w:rsidP="00131296">
      <w:pPr>
        <w:spacing w:after="0"/>
      </w:pPr>
      <w:r w:rsidRPr="00F117C0">
        <w:t xml:space="preserve">The purpose of this test method is to measure bond strengths, evaluate bond strength distributions, or determine compliance with specified bond strength requirements of the applicable acquisition document. This test may be applied </w:t>
      </w:r>
      <w:r w:rsidRPr="00F117C0">
        <w:lastRenderedPageBreak/>
        <w:t>to the wire-to-die bond, wire-to-substrate bond, or the wire-to-package lead bond inside the package of wire-connected microelectronic devices bonded by soldering, thermocompression, ultrasonic, or related techniques.</w:t>
      </w:r>
    </w:p>
    <w:p w14:paraId="423DCC44" w14:textId="77777777" w:rsidR="00131296" w:rsidRPr="00F117C0" w:rsidRDefault="00131296" w:rsidP="00131296">
      <w:pPr>
        <w:spacing w:after="0"/>
      </w:pPr>
    </w:p>
    <w:p w14:paraId="57D23168" w14:textId="77777777" w:rsidR="00131296" w:rsidRPr="00F117C0" w:rsidRDefault="00131296" w:rsidP="00131296">
      <w:pPr>
        <w:spacing w:after="0"/>
      </w:pPr>
      <w:r w:rsidRPr="00BD0436">
        <w:rPr>
          <w:b/>
        </w:rPr>
        <w:t>Die Shear</w:t>
      </w:r>
      <w:r w:rsidRPr="00F117C0">
        <w:t xml:space="preserve"> (MIL-STD-750 method 2017 test condition A) </w:t>
      </w:r>
    </w:p>
    <w:p w14:paraId="35BE416B" w14:textId="77777777" w:rsidR="00131296" w:rsidRPr="00F117C0" w:rsidRDefault="00131296" w:rsidP="00131296">
      <w:pPr>
        <w:spacing w:after="0"/>
      </w:pPr>
      <w:r w:rsidRPr="00F117C0">
        <w:t>The purpose of this test method is to establish the integrity of the semiconductor die attachment to the package header or other substrate.</w:t>
      </w:r>
    </w:p>
    <w:p w14:paraId="5EE06928" w14:textId="77777777" w:rsidR="00131296" w:rsidRPr="00F117C0" w:rsidRDefault="00131296" w:rsidP="00131296">
      <w:pPr>
        <w:spacing w:after="0"/>
      </w:pPr>
    </w:p>
    <w:p w14:paraId="622F01B7" w14:textId="77777777" w:rsidR="00131296" w:rsidRPr="00F117C0" w:rsidRDefault="00131296" w:rsidP="00131296">
      <w:pPr>
        <w:spacing w:after="0"/>
      </w:pPr>
      <w:r w:rsidRPr="00BD0436">
        <w:rPr>
          <w:b/>
        </w:rPr>
        <w:t>Die Attach Method Verification</w:t>
      </w:r>
      <w:r w:rsidRPr="00F117C0">
        <w:t xml:space="preserve"> (MIL-STD-750 method 2017) </w:t>
      </w:r>
    </w:p>
    <w:p w14:paraId="4061AFAF" w14:textId="77777777" w:rsidR="00131296" w:rsidRPr="00F117C0" w:rsidRDefault="00131296" w:rsidP="00131296">
      <w:pPr>
        <w:spacing w:after="0"/>
      </w:pPr>
      <w:r w:rsidRPr="00F117C0">
        <w:t>The purpose of this test method is to confirm the proper die attach method is used in accordance with the applicable acquisition document. Decapsulated devices are visually examined under optical microscope to verify the die attach method.</w:t>
      </w:r>
    </w:p>
    <w:p w14:paraId="7E9D9D1E" w14:textId="77777777" w:rsidR="00131296" w:rsidRPr="00F117C0" w:rsidRDefault="00131296" w:rsidP="00131296">
      <w:pPr>
        <w:spacing w:after="0"/>
      </w:pPr>
    </w:p>
    <w:p w14:paraId="7FA19236" w14:textId="3680F0F1" w:rsidR="00131296" w:rsidRPr="00F117C0" w:rsidRDefault="00131296" w:rsidP="00131296">
      <w:pPr>
        <w:spacing w:after="0"/>
      </w:pPr>
      <w:r w:rsidRPr="00BD0436">
        <w:rPr>
          <w:b/>
        </w:rPr>
        <w:t>Charged Device Model</w:t>
      </w:r>
      <w:r w:rsidRPr="00F117C0">
        <w:t xml:space="preserve"> (CDM) </w:t>
      </w:r>
      <w:r w:rsidR="003A4FEF" w:rsidRPr="00F117C0">
        <w:t>(JS</w:t>
      </w:r>
      <w:r w:rsidR="003A4FEF">
        <w:t>-00</w:t>
      </w:r>
      <w:r w:rsidR="003A4FEF" w:rsidRPr="00F117C0">
        <w:t>2-</w:t>
      </w:r>
      <w:r w:rsidR="003A4FEF">
        <w:t>2</w:t>
      </w:r>
      <w:r w:rsidR="003A4FEF" w:rsidRPr="00F117C0">
        <w:t>01</w:t>
      </w:r>
      <w:r w:rsidR="003A4FEF">
        <w:t>8</w:t>
      </w:r>
      <w:r w:rsidR="003A4FEF" w:rsidRPr="00F117C0">
        <w:t>)</w:t>
      </w:r>
    </w:p>
    <w:p w14:paraId="74732DCE" w14:textId="77777777" w:rsidR="00131296" w:rsidRPr="00F117C0" w:rsidRDefault="00131296" w:rsidP="00131296">
      <w:pPr>
        <w:spacing w:after="0"/>
      </w:pPr>
      <w:r w:rsidRPr="00F117C0">
        <w:t>This test is used to simulate situations that happen in manufacturing environments such as mechanical device handling where devices slide down shipping tubes or test handlers that build up a charge that’s subsequently discharged to ground.</w:t>
      </w:r>
    </w:p>
    <w:p w14:paraId="01B13259" w14:textId="77777777" w:rsidR="00131296" w:rsidRPr="00F117C0" w:rsidRDefault="00131296" w:rsidP="00131296">
      <w:pPr>
        <w:spacing w:after="0"/>
      </w:pPr>
    </w:p>
    <w:p w14:paraId="05E53336" w14:textId="65B6056D" w:rsidR="00131296" w:rsidRPr="00F117C0" w:rsidRDefault="00131296" w:rsidP="00131296">
      <w:pPr>
        <w:spacing w:after="0"/>
      </w:pPr>
      <w:r w:rsidRPr="00BD0436">
        <w:rPr>
          <w:b/>
        </w:rPr>
        <w:t>Human Body Model</w:t>
      </w:r>
      <w:r w:rsidRPr="00F117C0">
        <w:t xml:space="preserve"> (HBM) </w:t>
      </w:r>
      <w:r w:rsidR="003A4FEF" w:rsidRPr="00F117C0">
        <w:t>(JS</w:t>
      </w:r>
      <w:r w:rsidR="003A4FEF">
        <w:t>-001</w:t>
      </w:r>
      <w:r w:rsidR="003A4FEF" w:rsidRPr="00F117C0">
        <w:t>-</w:t>
      </w:r>
      <w:r w:rsidR="003A4FEF">
        <w:t>2017</w:t>
      </w:r>
      <w:r w:rsidR="003A4FEF" w:rsidRPr="00F117C0">
        <w:t>)</w:t>
      </w:r>
    </w:p>
    <w:p w14:paraId="44EA5EE8" w14:textId="77777777" w:rsidR="00131296" w:rsidRPr="00F117C0" w:rsidRDefault="00131296" w:rsidP="00131296">
      <w:pPr>
        <w:spacing w:after="0"/>
      </w:pPr>
      <w:r w:rsidRPr="00F117C0">
        <w:t>This test is used to simulate situations that replicate HBM type failures.</w:t>
      </w:r>
    </w:p>
    <w:p w14:paraId="6E47D544" w14:textId="77777777" w:rsidR="00131296" w:rsidRPr="00F117C0" w:rsidRDefault="00131296" w:rsidP="00131296">
      <w:pPr>
        <w:spacing w:after="0"/>
      </w:pPr>
    </w:p>
    <w:p w14:paraId="54CD914E" w14:textId="77777777" w:rsidR="00131296" w:rsidRPr="00F117C0" w:rsidRDefault="00131296" w:rsidP="00131296">
      <w:pPr>
        <w:spacing w:after="0"/>
      </w:pPr>
      <w:r w:rsidRPr="00BD0436">
        <w:rPr>
          <w:b/>
        </w:rPr>
        <w:t>Electrical Parameters Assessment</w:t>
      </w:r>
      <w:r w:rsidRPr="00F117C0">
        <w:t xml:space="preserve"> (DC Electrical) (JESD86)</w:t>
      </w:r>
    </w:p>
    <w:p w14:paraId="6D4C440F" w14:textId="77777777" w:rsidR="00131296" w:rsidRPr="00F117C0" w:rsidRDefault="00131296" w:rsidP="00131296">
      <w:pPr>
        <w:spacing w:after="0"/>
      </w:pPr>
      <w:r w:rsidRPr="00F117C0">
        <w:t>This standard describes methods for obtaining electrical data with the intent is to assess the device’s response function for specific parameters over time and under defined application environment (operating temperature, voltage, humidity, input/output levels, noise, power supply stability etc.) pre or post reliability stress test.</w:t>
      </w:r>
    </w:p>
    <w:p w14:paraId="21DBF4C7" w14:textId="77777777" w:rsidR="00131296" w:rsidRPr="00F117C0" w:rsidRDefault="00131296" w:rsidP="00131296">
      <w:pPr>
        <w:spacing w:after="0"/>
      </w:pPr>
    </w:p>
    <w:p w14:paraId="0E4A3D8E" w14:textId="77777777" w:rsidR="00131296" w:rsidRPr="00F117C0" w:rsidRDefault="00131296" w:rsidP="00131296">
      <w:pPr>
        <w:spacing w:after="0"/>
      </w:pPr>
      <w:r w:rsidRPr="00BD0436">
        <w:rPr>
          <w:b/>
        </w:rPr>
        <w:t>Gate Charge Test</w:t>
      </w:r>
      <w:r w:rsidRPr="00F117C0">
        <w:t xml:space="preserve"> (JESD24-2):</w:t>
      </w:r>
    </w:p>
    <w:p w14:paraId="51281A18" w14:textId="77777777" w:rsidR="00131296" w:rsidRPr="00F117C0" w:rsidRDefault="00131296" w:rsidP="00131296">
      <w:pPr>
        <w:spacing w:after="0"/>
      </w:pPr>
      <w:r w:rsidRPr="00F117C0">
        <w:t xml:space="preserve">Measures the input charge of insulated </w:t>
      </w:r>
      <w:r w:rsidR="00717F12" w:rsidRPr="00F117C0">
        <w:t>gate-controlled</w:t>
      </w:r>
      <w:r w:rsidRPr="00F117C0">
        <w:t xml:space="preserve"> power devices such as power MOSFETs and IGBTs. </w:t>
      </w:r>
    </w:p>
    <w:p w14:paraId="0A7DFCB0" w14:textId="77777777" w:rsidR="00131296" w:rsidRPr="00F117C0" w:rsidRDefault="00131296" w:rsidP="00131296">
      <w:pPr>
        <w:spacing w:after="0"/>
      </w:pPr>
    </w:p>
    <w:p w14:paraId="1E53A9FB" w14:textId="77777777" w:rsidR="00131296" w:rsidRPr="00F117C0" w:rsidRDefault="00131296" w:rsidP="00131296">
      <w:pPr>
        <w:spacing w:after="0"/>
      </w:pPr>
      <w:r w:rsidRPr="00BD0436">
        <w:rPr>
          <w:b/>
        </w:rPr>
        <w:t>Capacitance Test</w:t>
      </w:r>
      <w:r w:rsidRPr="00F117C0">
        <w:t xml:space="preserve"> (MIL-STD-750 Method 4001)</w:t>
      </w:r>
    </w:p>
    <w:p w14:paraId="0AACC4F3" w14:textId="77777777" w:rsidR="00131296" w:rsidRPr="00F117C0" w:rsidRDefault="00131296" w:rsidP="00131296">
      <w:pPr>
        <w:spacing w:after="0"/>
      </w:pPr>
      <w:r w:rsidRPr="00F117C0">
        <w:t xml:space="preserve">Measures the capacitance across the device terminals under specified DC bias and AC signal voltages. </w:t>
      </w:r>
    </w:p>
    <w:p w14:paraId="210C4BB0" w14:textId="77777777" w:rsidR="00131296" w:rsidRPr="00F117C0" w:rsidRDefault="00131296" w:rsidP="00131296">
      <w:pPr>
        <w:spacing w:after="0"/>
      </w:pPr>
    </w:p>
    <w:p w14:paraId="6FC05542" w14:textId="77777777" w:rsidR="00131296" w:rsidRPr="00F117C0" w:rsidRDefault="00131296" w:rsidP="00131296">
      <w:pPr>
        <w:spacing w:after="0"/>
      </w:pPr>
      <w:r w:rsidRPr="00BD0436">
        <w:rPr>
          <w:b/>
        </w:rPr>
        <w:t xml:space="preserve">Switching Time Test </w:t>
      </w:r>
      <w:r w:rsidRPr="00F117C0">
        <w:t xml:space="preserve">(MIL-STD-750 Method 3472) </w:t>
      </w:r>
    </w:p>
    <w:p w14:paraId="4093B944" w14:textId="77777777" w:rsidR="00131296" w:rsidRPr="00F117C0" w:rsidRDefault="00131296" w:rsidP="00131296">
      <w:pPr>
        <w:spacing w:after="0"/>
      </w:pPr>
      <w:r w:rsidRPr="00F117C0">
        <w:t>Measures the pulse response (td(on), tr, td(off), tf) of power MOSFET or transistor devices under specified conditions.</w:t>
      </w:r>
    </w:p>
    <w:p w14:paraId="7E373BF1" w14:textId="77777777" w:rsidR="00131296" w:rsidRPr="00F117C0" w:rsidRDefault="00131296" w:rsidP="00131296">
      <w:pPr>
        <w:spacing w:after="0"/>
      </w:pPr>
    </w:p>
    <w:p w14:paraId="28038F61" w14:textId="77777777" w:rsidR="00131296" w:rsidRPr="00F117C0" w:rsidRDefault="00131296" w:rsidP="00131296">
      <w:pPr>
        <w:spacing w:after="0"/>
      </w:pPr>
      <w:r w:rsidRPr="00BD0436">
        <w:rPr>
          <w:b/>
        </w:rPr>
        <w:t>Surge Current Test</w:t>
      </w:r>
      <w:r w:rsidRPr="00F117C0">
        <w:t xml:space="preserve"> (MIL-STD-750 Method 4066)</w:t>
      </w:r>
    </w:p>
    <w:p w14:paraId="2BA03569" w14:textId="77777777" w:rsidR="00131296" w:rsidRPr="00F117C0" w:rsidRDefault="00131296" w:rsidP="00131296">
      <w:pPr>
        <w:spacing w:after="0"/>
      </w:pPr>
      <w:r w:rsidRPr="00F117C0">
        <w:t>Subjects the device (diodes) under test (DUT) to high current stress conditions to determine the ability of the device chip and contacts to withstand current surges. This is intended to verify a non-repetitive surge rating where there is sufficient time between surges to permit the device temperature to return to its original value. Surge current is applied in the forward direction to signal diodes and rectifier diodes, and in the reverse direction to voltage regulator (Zener) diodes.</w:t>
      </w:r>
    </w:p>
    <w:p w14:paraId="3C2DC753" w14:textId="77777777" w:rsidR="00131296" w:rsidRPr="00F117C0" w:rsidRDefault="00131296" w:rsidP="00131296">
      <w:pPr>
        <w:spacing w:after="0"/>
      </w:pPr>
    </w:p>
    <w:p w14:paraId="43448E3F" w14:textId="77777777" w:rsidR="00131296" w:rsidRPr="00F117C0" w:rsidRDefault="00131296" w:rsidP="00131296">
      <w:pPr>
        <w:spacing w:after="0"/>
      </w:pPr>
      <w:r w:rsidRPr="00BD0436">
        <w:rPr>
          <w:b/>
        </w:rPr>
        <w:t>Thermal Resistance Test</w:t>
      </w:r>
      <w:r w:rsidRPr="00F117C0">
        <w:t xml:space="preserve"> (MIL-STD-750 method 3151) </w:t>
      </w:r>
    </w:p>
    <w:p w14:paraId="3811F196" w14:textId="77777777" w:rsidR="00131296" w:rsidRPr="00F117C0" w:rsidRDefault="00131296" w:rsidP="00131296">
      <w:pPr>
        <w:spacing w:after="0"/>
      </w:pPr>
      <w:r w:rsidRPr="00F117C0">
        <w:t>The purpose of this test is to measure the temperature rise per unit power dissipation of the designated junction above the case of the device or ambient temperature, under conditions of steady state operation.</w:t>
      </w:r>
    </w:p>
    <w:p w14:paraId="236DD425" w14:textId="77777777" w:rsidR="00131296" w:rsidRPr="00F117C0" w:rsidRDefault="00131296" w:rsidP="00131296">
      <w:pPr>
        <w:spacing w:after="0"/>
      </w:pPr>
    </w:p>
    <w:p w14:paraId="47706250" w14:textId="77777777" w:rsidR="00131296" w:rsidRPr="00F117C0" w:rsidRDefault="00131296" w:rsidP="00131296">
      <w:pPr>
        <w:spacing w:after="0"/>
      </w:pPr>
      <w:r w:rsidRPr="00BD0436">
        <w:rPr>
          <w:b/>
        </w:rPr>
        <w:t>Reverse Recovery Time</w:t>
      </w:r>
      <w:r w:rsidRPr="00F117C0">
        <w:t xml:space="preserve"> (Trr) Measurement (MIL-STD-750 method 4031) </w:t>
      </w:r>
    </w:p>
    <w:p w14:paraId="3D786CDB" w14:textId="77777777" w:rsidR="00131296" w:rsidRPr="00F117C0" w:rsidRDefault="00131296" w:rsidP="00131296">
      <w:pPr>
        <w:spacing w:after="0"/>
      </w:pPr>
      <w:r w:rsidRPr="00F117C0">
        <w:t>The purpose of this test is to measure the reverse recovery time of signal, switching, and rectifier diodes by observing the reverse transient current versus time when switching from a specified forward current to a reverse biased state in a specified manner.</w:t>
      </w:r>
    </w:p>
    <w:p w14:paraId="4FF4E693" w14:textId="77777777" w:rsidR="00131296" w:rsidRPr="00F117C0" w:rsidRDefault="00131296" w:rsidP="00131296">
      <w:pPr>
        <w:spacing w:after="0"/>
      </w:pPr>
    </w:p>
    <w:p w14:paraId="013E6727" w14:textId="77777777" w:rsidR="00131296" w:rsidRPr="00F117C0" w:rsidRDefault="00131296" w:rsidP="00131296">
      <w:pPr>
        <w:spacing w:after="0"/>
      </w:pPr>
      <w:r w:rsidRPr="00BD0436">
        <w:rPr>
          <w:b/>
        </w:rPr>
        <w:t>Resistance to Solder Shock</w:t>
      </w:r>
      <w:r w:rsidRPr="00F117C0">
        <w:t xml:space="preserve"> (JESD22-B106)</w:t>
      </w:r>
    </w:p>
    <w:p w14:paraId="5207FD29" w14:textId="77777777" w:rsidR="00131296" w:rsidRPr="00F117C0" w:rsidRDefault="00131296" w:rsidP="00131296">
      <w:pPr>
        <w:spacing w:after="0"/>
      </w:pPr>
      <w:r w:rsidRPr="00F117C0">
        <w:t>This test method is used to determine whether solid state devices can withstand the effect of the temperature shock to which they will be subjected during soldering of leads in a solderwave process and/or solder fountain (rework/replacement) process.</w:t>
      </w:r>
    </w:p>
    <w:p w14:paraId="1787FE5E" w14:textId="77777777" w:rsidR="00131296" w:rsidRPr="00F117C0" w:rsidRDefault="00131296" w:rsidP="00131296">
      <w:pPr>
        <w:spacing w:after="0"/>
      </w:pPr>
    </w:p>
    <w:p w14:paraId="57360D60" w14:textId="77777777" w:rsidR="00131296" w:rsidRPr="00F117C0" w:rsidRDefault="00131296" w:rsidP="00131296">
      <w:pPr>
        <w:spacing w:after="0"/>
      </w:pPr>
      <w:r w:rsidRPr="00BD0436">
        <w:rPr>
          <w:b/>
        </w:rPr>
        <w:t>Solderability (</w:t>
      </w:r>
      <w:r w:rsidRPr="00F117C0">
        <w:t>MIL-STD-750 method 2026)</w:t>
      </w:r>
    </w:p>
    <w:p w14:paraId="4FAC02AD" w14:textId="77777777" w:rsidR="00131296" w:rsidRPr="00F117C0" w:rsidRDefault="00131296" w:rsidP="00131296">
      <w:pPr>
        <w:spacing w:after="0"/>
      </w:pPr>
      <w:r w:rsidRPr="00F117C0">
        <w:t>The solderability test is used to determine the ability of package leads wetted by solder. This test verifies that the method of lead treatment to facilitate solderability is satisfactory and will allow successful solder connection to designated surface.</w:t>
      </w:r>
    </w:p>
    <w:p w14:paraId="14EF88C8" w14:textId="77777777" w:rsidR="00131296" w:rsidRPr="00F117C0" w:rsidRDefault="00131296" w:rsidP="00131296">
      <w:pPr>
        <w:spacing w:after="0"/>
      </w:pPr>
    </w:p>
    <w:p w14:paraId="445F23A4" w14:textId="77777777" w:rsidR="00131296" w:rsidRPr="00F117C0" w:rsidRDefault="00131296" w:rsidP="00131296">
      <w:pPr>
        <w:spacing w:after="0"/>
      </w:pPr>
      <w:r w:rsidRPr="00BD0436">
        <w:rPr>
          <w:b/>
        </w:rPr>
        <w:t>High Temperature Storage Life/Bake Test</w:t>
      </w:r>
      <w:r w:rsidRPr="00F117C0">
        <w:t xml:space="preserve"> (JESD22-A103) </w:t>
      </w:r>
    </w:p>
    <w:p w14:paraId="10E73342" w14:textId="77777777" w:rsidR="00131296" w:rsidRPr="00F117C0" w:rsidRDefault="00131296" w:rsidP="00131296">
      <w:pPr>
        <w:spacing w:after="0"/>
      </w:pPr>
      <w:r w:rsidRPr="00F117C0">
        <w:t>The high temperature storage test is typically used to determine the effects of time and temperature, under storage conditions, for thermally activated failure mechanisms and time-to failure distributions of solid state electronic devices. During the test, accelerated stress temperatures are used without electrical conditions applied.</w:t>
      </w:r>
    </w:p>
    <w:p w14:paraId="10A614F1" w14:textId="77777777" w:rsidR="00131296" w:rsidRPr="00F117C0" w:rsidRDefault="00131296" w:rsidP="00131296">
      <w:pPr>
        <w:spacing w:after="0"/>
      </w:pPr>
    </w:p>
    <w:p w14:paraId="4E7E0A3C" w14:textId="77777777" w:rsidR="00131296" w:rsidRPr="00F117C0" w:rsidRDefault="00131296" w:rsidP="00131296">
      <w:pPr>
        <w:spacing w:after="0"/>
      </w:pPr>
      <w:r w:rsidRPr="00BD0436">
        <w:rPr>
          <w:b/>
        </w:rPr>
        <w:t>High Temperature Reverse Bias</w:t>
      </w:r>
      <w:r w:rsidRPr="00F117C0">
        <w:t xml:space="preserve"> (HTRB) (JESD22-A108)</w:t>
      </w:r>
    </w:p>
    <w:p w14:paraId="545B91D6" w14:textId="77777777" w:rsidR="00131296" w:rsidRPr="00F117C0" w:rsidRDefault="00131296" w:rsidP="00131296">
      <w:pPr>
        <w:spacing w:after="0"/>
      </w:pPr>
      <w:r w:rsidRPr="00F117C0">
        <w:t>The HTRB test is configured to reverse bias major power handling junctions of the device samples. The devices are characteristically operated in a static operating mode at, or near, maximum-rated breakdown voltage and/or current levels.</w:t>
      </w:r>
    </w:p>
    <w:p w14:paraId="57F6AA1D" w14:textId="77777777" w:rsidR="00131296" w:rsidRPr="00F117C0" w:rsidRDefault="00131296" w:rsidP="00131296">
      <w:pPr>
        <w:spacing w:after="0"/>
      </w:pPr>
    </w:p>
    <w:p w14:paraId="2CE8FF8A" w14:textId="77777777" w:rsidR="00131296" w:rsidRPr="00F117C0" w:rsidRDefault="00131296" w:rsidP="00131296">
      <w:pPr>
        <w:spacing w:after="0"/>
      </w:pPr>
      <w:r w:rsidRPr="00BD0436">
        <w:rPr>
          <w:b/>
        </w:rPr>
        <w:t>High Temperature Gate Bias</w:t>
      </w:r>
      <w:r w:rsidRPr="00F117C0">
        <w:t xml:space="preserve"> (HTGB) (JESD22-A108)</w:t>
      </w:r>
    </w:p>
    <w:p w14:paraId="01A02548" w14:textId="77777777" w:rsidR="00131296" w:rsidRPr="00F117C0" w:rsidRDefault="00131296" w:rsidP="00131296">
      <w:pPr>
        <w:spacing w:after="0"/>
      </w:pPr>
      <w:r w:rsidRPr="00F117C0">
        <w:t>The HTGB test biases gate or other oxides of the device samples. The devices are normally operated in a static mode at, or near, maximum-rated oxide breakdown voltage levels.</w:t>
      </w:r>
    </w:p>
    <w:p w14:paraId="77C2EDF4" w14:textId="77777777" w:rsidR="00131296" w:rsidRPr="00F117C0" w:rsidRDefault="00131296" w:rsidP="00131296">
      <w:pPr>
        <w:spacing w:after="0"/>
      </w:pPr>
    </w:p>
    <w:p w14:paraId="0C2FAFB1" w14:textId="77777777" w:rsidR="00131296" w:rsidRPr="00F117C0" w:rsidRDefault="00131296" w:rsidP="00131296">
      <w:pPr>
        <w:spacing w:after="0"/>
      </w:pPr>
      <w:r w:rsidRPr="00BD0436">
        <w:rPr>
          <w:b/>
        </w:rPr>
        <w:t>Preconditioning of Non-hermetic Surface Mount Devices</w:t>
      </w:r>
      <w:r w:rsidRPr="00F117C0">
        <w:t xml:space="preserve"> (JESD22-A113)</w:t>
      </w:r>
    </w:p>
    <w:p w14:paraId="1C73D6AB" w14:textId="77777777" w:rsidR="00131296" w:rsidRPr="00F117C0" w:rsidRDefault="00131296" w:rsidP="00131296">
      <w:pPr>
        <w:spacing w:after="0"/>
      </w:pPr>
      <w:r w:rsidRPr="00F117C0">
        <w:t>The typical use of surface mount devices (SMD) involves subjecting the devices to elevated temperatures, which combined with moisture in the package can induce internal package damage that could be a qualification concern. Preconditioning of SMD packages is used to simulate the effects of board assembly on moisturized packages, prior to testing. During preconditioning, test samples are subjected to temperature cycling (optional), dry bake, moisture soaking, solder reflow simulation, flux, rinse, dry, an electrical test before reliability testing.</w:t>
      </w:r>
    </w:p>
    <w:p w14:paraId="22FF2EE5" w14:textId="77777777" w:rsidR="00131296" w:rsidRPr="00F117C0" w:rsidRDefault="00131296" w:rsidP="00131296">
      <w:pPr>
        <w:spacing w:after="0"/>
      </w:pPr>
    </w:p>
    <w:p w14:paraId="32B6D9B0" w14:textId="77777777" w:rsidR="00131296" w:rsidRPr="00F117C0" w:rsidRDefault="00131296" w:rsidP="00131296">
      <w:pPr>
        <w:spacing w:after="0"/>
      </w:pPr>
      <w:r w:rsidRPr="00BD0436">
        <w:rPr>
          <w:b/>
        </w:rPr>
        <w:t>Accelerated Moisture Resistance – Unbiased Autoclave</w:t>
      </w:r>
      <w:r w:rsidRPr="00F117C0">
        <w:t xml:space="preserve"> (JESD22-A102)</w:t>
      </w:r>
    </w:p>
    <w:p w14:paraId="2BCA0E41" w14:textId="77777777" w:rsidR="00131296" w:rsidRPr="00F117C0" w:rsidRDefault="00131296" w:rsidP="00131296">
      <w:pPr>
        <w:spacing w:after="0"/>
      </w:pPr>
      <w:r w:rsidRPr="00F117C0">
        <w:t>This test method applies primarily to moisture resistance evaluations and robustness testing to identify failure mechanisms internal to the package and is destructive. Samples are subjected to a condensing, highly humid atmosphere under pressure to force moisture into the package under accelerated conditions to uncover weaknesses such as delamination and metallization corrosion.</w:t>
      </w:r>
    </w:p>
    <w:p w14:paraId="01919AE0" w14:textId="77777777" w:rsidR="00131296" w:rsidRPr="00F117C0" w:rsidRDefault="00131296" w:rsidP="00131296">
      <w:pPr>
        <w:spacing w:after="0"/>
      </w:pPr>
    </w:p>
    <w:p w14:paraId="49EF2CE3" w14:textId="77777777" w:rsidR="00131296" w:rsidRPr="00F117C0" w:rsidRDefault="00131296" w:rsidP="00131296">
      <w:pPr>
        <w:spacing w:after="0"/>
      </w:pPr>
      <w:r w:rsidRPr="00BD0436">
        <w:rPr>
          <w:b/>
        </w:rPr>
        <w:t>Temperature Cycling Test</w:t>
      </w:r>
      <w:r w:rsidRPr="00F117C0">
        <w:t xml:space="preserve"> (JESD22-A104, MIL-STD-750 method 1051)</w:t>
      </w:r>
    </w:p>
    <w:p w14:paraId="7799CC11" w14:textId="77777777" w:rsidR="00131296" w:rsidRPr="00F117C0" w:rsidRDefault="00131296" w:rsidP="00131296">
      <w:pPr>
        <w:spacing w:after="0"/>
      </w:pPr>
      <w:r w:rsidRPr="00F117C0">
        <w:t>Temperature cycling test accelerates the effects that changes in the temperature will cause damage between different components within the specific die and packaging system due to different thermal expansion coefficients. During testing devices are inserted into a chamber where the interior is cycled between specified temperatures and held at each temperature for a minimum of ten minutes. Temperature extremes depend on the condition selected in the test method.</w:t>
      </w:r>
    </w:p>
    <w:p w14:paraId="6236980B" w14:textId="77777777" w:rsidR="00131296" w:rsidRPr="00F117C0" w:rsidRDefault="00131296" w:rsidP="00131296">
      <w:pPr>
        <w:spacing w:after="0"/>
      </w:pPr>
    </w:p>
    <w:p w14:paraId="6373BF2D" w14:textId="77777777" w:rsidR="00131296" w:rsidRPr="00F117C0" w:rsidRDefault="00131296" w:rsidP="00131296">
      <w:pPr>
        <w:spacing w:after="0"/>
      </w:pPr>
      <w:r w:rsidRPr="00BD0436">
        <w:rPr>
          <w:b/>
        </w:rPr>
        <w:t>Thermal Shock</w:t>
      </w:r>
      <w:r w:rsidRPr="00F117C0">
        <w:t xml:space="preserve"> (JESD22-A106)</w:t>
      </w:r>
    </w:p>
    <w:p w14:paraId="6A7A11BD" w14:textId="77777777" w:rsidR="00131296" w:rsidRPr="00F117C0" w:rsidRDefault="00131296" w:rsidP="00131296">
      <w:pPr>
        <w:spacing w:after="0"/>
      </w:pPr>
      <w:r w:rsidRPr="00F117C0">
        <w:t>This test is conducted to determine the resistance of a part to sudden exposure to extreme changes in temperature and to the effect of alternate exposures to these extremes.</w:t>
      </w:r>
    </w:p>
    <w:p w14:paraId="68076B2E" w14:textId="77777777" w:rsidR="00131296" w:rsidRPr="00F117C0" w:rsidRDefault="00131296" w:rsidP="00131296">
      <w:pPr>
        <w:spacing w:after="0"/>
      </w:pPr>
    </w:p>
    <w:p w14:paraId="7FA7B6A6" w14:textId="77777777" w:rsidR="00131296" w:rsidRPr="00F117C0" w:rsidRDefault="00131296" w:rsidP="00131296">
      <w:pPr>
        <w:spacing w:after="0"/>
      </w:pPr>
      <w:r w:rsidRPr="00BD0436">
        <w:rPr>
          <w:b/>
        </w:rPr>
        <w:t>Steady-State Temperature-Humidity Bias</w:t>
      </w:r>
      <w:r w:rsidRPr="00F117C0">
        <w:t xml:space="preserve"> (THB) (JESD22-A101)</w:t>
      </w:r>
    </w:p>
    <w:p w14:paraId="6016F092" w14:textId="77777777" w:rsidR="00131296" w:rsidRPr="00F117C0" w:rsidRDefault="00131296" w:rsidP="00131296">
      <w:pPr>
        <w:spacing w:after="0"/>
      </w:pPr>
      <w:r w:rsidRPr="00F117C0">
        <w:t>The Steady-State Temperature-Humidity Bias test is performed to evaluate the reliability of non-hermetic</w:t>
      </w:r>
    </w:p>
    <w:p w14:paraId="6B17EB07" w14:textId="77777777" w:rsidR="00131296" w:rsidRPr="00F117C0" w:rsidRDefault="00131296" w:rsidP="00131296">
      <w:pPr>
        <w:spacing w:after="0"/>
      </w:pPr>
      <w:r w:rsidRPr="00F117C0">
        <w:t>packaged devices in humid environments. Temperature, humidity, and bias conditions are applied to accelerate the penetration of moisture through the external protective material (encapsulant or seal) or along the interface between the external protective material and the metallic conductors which pass through it.</w:t>
      </w:r>
    </w:p>
    <w:p w14:paraId="0FA04B28" w14:textId="77777777" w:rsidR="00131296" w:rsidRPr="00F117C0" w:rsidRDefault="00131296" w:rsidP="00131296">
      <w:pPr>
        <w:spacing w:after="0"/>
      </w:pPr>
    </w:p>
    <w:p w14:paraId="136FE851" w14:textId="77777777" w:rsidR="00131296" w:rsidRPr="00F117C0" w:rsidRDefault="00131296" w:rsidP="00131296">
      <w:pPr>
        <w:spacing w:after="0"/>
      </w:pPr>
      <w:r w:rsidRPr="00BD0436">
        <w:rPr>
          <w:b/>
        </w:rPr>
        <w:t>Highly Accelerated Temperature and Humidity Stress Test</w:t>
      </w:r>
      <w:r w:rsidRPr="00F117C0">
        <w:t xml:space="preserve"> (HAST) (JESD22-A110)</w:t>
      </w:r>
    </w:p>
    <w:p w14:paraId="47303A66" w14:textId="77777777" w:rsidR="00131296" w:rsidRPr="00F117C0" w:rsidRDefault="00131296" w:rsidP="00131296">
      <w:pPr>
        <w:spacing w:after="0"/>
      </w:pPr>
      <w:r w:rsidRPr="00F117C0">
        <w:t>The Highly-Accelerated Temperature and Humidity Stress Test is performed for the purpose of evaluating the reliability of non-hermetic packaged solid-state devices in humid environments. It employs severe conditions of temperature, humidity, and bias which accelerate the penetration of moisture through the external protective material (encapsulant or seal) or along the interface between the external protective material and the metallic conductors which pass through it. The stress usually activates the same failure mechanisms as the Steady-State Temperature-Humidity Bias test (JESD22-A101).</w:t>
      </w:r>
    </w:p>
    <w:p w14:paraId="203D4621" w14:textId="77777777" w:rsidR="00131296" w:rsidRPr="00F117C0" w:rsidRDefault="00131296" w:rsidP="00131296">
      <w:pPr>
        <w:spacing w:after="0"/>
      </w:pPr>
    </w:p>
    <w:p w14:paraId="69B8291E" w14:textId="2E83FFD5" w:rsidR="00131296" w:rsidRPr="00F117C0" w:rsidRDefault="00131296" w:rsidP="00131296">
      <w:pPr>
        <w:spacing w:after="0"/>
      </w:pPr>
      <w:r w:rsidRPr="00BD0436">
        <w:rPr>
          <w:b/>
        </w:rPr>
        <w:t>Helium Fine Leak Test</w:t>
      </w:r>
      <w:r w:rsidRPr="00F117C0">
        <w:t xml:space="preserve"> (MIL-STD-883 method 1014 condition A1</w:t>
      </w:r>
      <w:r w:rsidR="008F4502">
        <w:t>)</w:t>
      </w:r>
    </w:p>
    <w:p w14:paraId="590E4887" w14:textId="3D4C1CD2" w:rsidR="00131296" w:rsidRPr="00F117C0" w:rsidRDefault="00131296" w:rsidP="00131296">
      <w:pPr>
        <w:spacing w:after="0"/>
      </w:pPr>
      <w:r w:rsidRPr="00F117C0">
        <w:t>The purpose of this test is to determine the hermeticity of semiconductor devices with designed internal cavities such as ceramic and metal packages for leak rates generally below 10</w:t>
      </w:r>
      <w:r w:rsidRPr="00AF3D4B">
        <w:rPr>
          <w:vertAlign w:val="superscript"/>
        </w:rPr>
        <w:t>-5</w:t>
      </w:r>
      <w:r w:rsidRPr="00F117C0">
        <w:t xml:space="preserve"> atm-cc/s. The test is done for DUTs by keeping them in a chamber with appropriate pressure and duration of He gas. The leak rate detection is performed with a vacuum chamber and a mass spectrometer-type leak detector.</w:t>
      </w:r>
    </w:p>
    <w:p w14:paraId="14013AB6" w14:textId="77777777" w:rsidR="00131296" w:rsidRPr="00F117C0" w:rsidRDefault="00131296" w:rsidP="00131296">
      <w:pPr>
        <w:spacing w:after="0"/>
      </w:pPr>
    </w:p>
    <w:p w14:paraId="0E361F87" w14:textId="77777777" w:rsidR="00131296" w:rsidRPr="00F117C0" w:rsidRDefault="00131296" w:rsidP="00131296">
      <w:pPr>
        <w:spacing w:after="0"/>
      </w:pPr>
      <w:r w:rsidRPr="00BD0436">
        <w:rPr>
          <w:b/>
        </w:rPr>
        <w:t>Gross Leak Test</w:t>
      </w:r>
      <w:r w:rsidRPr="00F117C0">
        <w:t xml:space="preserve"> (MIL-STD-750 method 1071 test condition C)</w:t>
      </w:r>
    </w:p>
    <w:p w14:paraId="4D64357D" w14:textId="2BFA89E5" w:rsidR="00131296" w:rsidRPr="00F117C0" w:rsidRDefault="00131296" w:rsidP="00131296">
      <w:pPr>
        <w:spacing w:after="0"/>
      </w:pPr>
      <w:r w:rsidRPr="00F117C0">
        <w:t>The purpose of this test is to determine the hermeticity of semiconductor devices with designed internal cavities such as ceramic and metal packages for leak rates above 10</w:t>
      </w:r>
      <w:r w:rsidRPr="00AF3D4B">
        <w:rPr>
          <w:vertAlign w:val="superscript"/>
        </w:rPr>
        <w:t>-5</w:t>
      </w:r>
      <w:r w:rsidRPr="00F117C0">
        <w:t xml:space="preserve"> atm-cc/s . DUTs are kept in a chamber with appropriate perfluorocarbon liquid, pressure, and duration. They are then immersed in a perfluorocarbon liquid of higher boiling point set at +125°C ±5°C and observations are made to detect gas (vapor) leakage.</w:t>
      </w:r>
    </w:p>
    <w:p w14:paraId="1864E623" w14:textId="77777777" w:rsidR="00131296" w:rsidRPr="00F117C0" w:rsidRDefault="00131296" w:rsidP="00131296">
      <w:pPr>
        <w:spacing w:after="0"/>
      </w:pPr>
    </w:p>
    <w:p w14:paraId="71DD8B81" w14:textId="77777777" w:rsidR="00131296" w:rsidRPr="00F117C0" w:rsidRDefault="00131296" w:rsidP="00131296">
      <w:pPr>
        <w:spacing w:after="0"/>
      </w:pPr>
      <w:r w:rsidRPr="00BD0436">
        <w:rPr>
          <w:b/>
        </w:rPr>
        <w:t>Mechanical Shock</w:t>
      </w:r>
      <w:r w:rsidRPr="00F117C0">
        <w:t xml:space="preserve"> (JESD22-B110) </w:t>
      </w:r>
    </w:p>
    <w:p w14:paraId="5B3DB5F1" w14:textId="77777777" w:rsidR="00131296" w:rsidRDefault="00131296" w:rsidP="00131296">
      <w:pPr>
        <w:spacing w:after="0"/>
      </w:pPr>
      <w:r w:rsidRPr="00F117C0">
        <w:t>The Mechanical Shock Test is intended to evaluate component(s) for use in electrical equipment. It is intended to determine the compatibility of the component(s) to withstand moderately severe shocks as a result of suddenly applied forces or abrupt change in motion produced by handling, transportation or field operation.</w:t>
      </w:r>
    </w:p>
    <w:p w14:paraId="6979D5E9" w14:textId="77777777" w:rsidR="00131296" w:rsidRDefault="00131296" w:rsidP="00131296">
      <w:pPr>
        <w:spacing w:after="0"/>
      </w:pPr>
    </w:p>
    <w:p w14:paraId="0210330D" w14:textId="77777777" w:rsidR="00131296" w:rsidRDefault="00131296">
      <w:r>
        <w:br w:type="page"/>
      </w:r>
    </w:p>
    <w:p w14:paraId="3B7B6572" w14:textId="46FC2CA9" w:rsidR="00131296" w:rsidRDefault="00131296" w:rsidP="00131296">
      <w:pPr>
        <w:rPr>
          <w:b/>
          <w:u w:val="single"/>
        </w:rPr>
      </w:pPr>
    </w:p>
    <w:p w14:paraId="534A2E54" w14:textId="77777777" w:rsidR="00AE0C91" w:rsidRPr="00F117C0" w:rsidRDefault="00AE0C91" w:rsidP="00131296">
      <w:pPr>
        <w:rPr>
          <w:b/>
        </w:rPr>
      </w:pPr>
    </w:p>
    <w:p w14:paraId="07EFA2BB" w14:textId="260E9907" w:rsidR="00131296" w:rsidRDefault="00AE0C91" w:rsidP="00131296">
      <w:pPr>
        <w:spacing w:after="0"/>
        <w:rPr>
          <w:noProof/>
        </w:rPr>
      </w:pPr>
      <w:r>
        <w:rPr>
          <w:noProof/>
        </w:rPr>
        <w:drawing>
          <wp:inline distT="0" distB="0" distL="0" distR="0" wp14:anchorId="1911783D" wp14:editId="571B2235">
            <wp:extent cx="6858000" cy="4864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58000" cy="4864100"/>
                    </a:xfrm>
                    <a:prstGeom prst="rect">
                      <a:avLst/>
                    </a:prstGeom>
                  </pic:spPr>
                </pic:pic>
              </a:graphicData>
            </a:graphic>
          </wp:inline>
        </w:drawing>
      </w:r>
    </w:p>
    <w:p w14:paraId="0F428B05" w14:textId="77777777" w:rsidR="00F22EEC" w:rsidRDefault="00F22EEC" w:rsidP="00131296">
      <w:pPr>
        <w:spacing w:after="0"/>
      </w:pPr>
    </w:p>
    <w:p w14:paraId="06DC034E" w14:textId="77777777" w:rsidR="00F22EEC" w:rsidRDefault="00F22EEC" w:rsidP="00131296">
      <w:pPr>
        <w:spacing w:after="0"/>
      </w:pPr>
    </w:p>
    <w:p w14:paraId="41777B90" w14:textId="77777777" w:rsidR="00F22EEC" w:rsidRDefault="00F22EEC" w:rsidP="00131296">
      <w:pPr>
        <w:spacing w:after="0"/>
      </w:pPr>
    </w:p>
    <w:p w14:paraId="1FCC0DF2" w14:textId="77777777" w:rsidR="00F22EEC" w:rsidRDefault="00F22EEC" w:rsidP="00131296">
      <w:pPr>
        <w:spacing w:after="0"/>
      </w:pPr>
    </w:p>
    <w:p w14:paraId="723FAD17" w14:textId="77777777" w:rsidR="00F22EEC" w:rsidRDefault="00F22EEC" w:rsidP="00131296">
      <w:pPr>
        <w:spacing w:after="0"/>
      </w:pPr>
    </w:p>
    <w:p w14:paraId="0FE043B2" w14:textId="77777777" w:rsidR="00F22EEC" w:rsidRDefault="00F22EEC" w:rsidP="00131296">
      <w:pPr>
        <w:spacing w:after="0"/>
      </w:pPr>
    </w:p>
    <w:p w14:paraId="2991AC5A" w14:textId="77777777" w:rsidR="00F22EEC" w:rsidRDefault="00F22EEC" w:rsidP="00131296">
      <w:pPr>
        <w:spacing w:after="0"/>
      </w:pPr>
    </w:p>
    <w:p w14:paraId="548DC45F" w14:textId="77777777" w:rsidR="00F22EEC" w:rsidRDefault="00F22EEC" w:rsidP="00131296">
      <w:pPr>
        <w:spacing w:after="0"/>
      </w:pPr>
    </w:p>
    <w:p w14:paraId="5DB35BE2" w14:textId="77777777" w:rsidR="00F22EEC" w:rsidRDefault="00F22EEC" w:rsidP="00131296">
      <w:pPr>
        <w:spacing w:after="0"/>
      </w:pPr>
    </w:p>
    <w:p w14:paraId="44D8D21B" w14:textId="77777777" w:rsidR="00F22EEC" w:rsidRDefault="00F22EEC" w:rsidP="00131296">
      <w:pPr>
        <w:spacing w:after="0"/>
      </w:pPr>
    </w:p>
    <w:p w14:paraId="4D0129F4" w14:textId="77777777" w:rsidR="00F22EEC" w:rsidRDefault="00F22EEC" w:rsidP="00131296">
      <w:pPr>
        <w:spacing w:after="0"/>
      </w:pPr>
    </w:p>
    <w:p w14:paraId="40B34ECE" w14:textId="77777777" w:rsidR="00F22EEC" w:rsidRDefault="00F22EEC" w:rsidP="00131296">
      <w:pPr>
        <w:spacing w:after="0"/>
      </w:pPr>
    </w:p>
    <w:p w14:paraId="39E31485" w14:textId="77777777" w:rsidR="00F22EEC" w:rsidRDefault="00F22EEC" w:rsidP="00131296">
      <w:pPr>
        <w:spacing w:after="0"/>
      </w:pPr>
    </w:p>
    <w:p w14:paraId="57970A6E" w14:textId="77777777" w:rsidR="00F22EEC" w:rsidRDefault="00F22EEC" w:rsidP="00131296">
      <w:pPr>
        <w:spacing w:after="0"/>
      </w:pPr>
    </w:p>
    <w:p w14:paraId="58780F2D" w14:textId="77777777" w:rsidR="00F22EEC" w:rsidRDefault="00F22EEC" w:rsidP="00131296">
      <w:pPr>
        <w:spacing w:after="0"/>
      </w:pPr>
    </w:p>
    <w:p w14:paraId="10EB1CCC" w14:textId="77777777" w:rsidR="00F22EEC" w:rsidRDefault="00F22EEC" w:rsidP="00131296">
      <w:pPr>
        <w:spacing w:after="0"/>
      </w:pPr>
    </w:p>
    <w:p w14:paraId="26BC83B8" w14:textId="77777777" w:rsidR="00F22EEC" w:rsidRDefault="00F22EEC" w:rsidP="00131296">
      <w:pPr>
        <w:spacing w:after="0"/>
      </w:pPr>
    </w:p>
    <w:p w14:paraId="500EB6EA" w14:textId="77777777" w:rsidR="00131296" w:rsidRDefault="00131296"/>
    <w:p w14:paraId="5F8C1D4D" w14:textId="7BD31C51" w:rsidR="00076778" w:rsidRDefault="00076778" w:rsidP="00AE0C91">
      <w:pPr>
        <w:spacing w:after="0" w:line="240" w:lineRule="auto"/>
        <w:jc w:val="center"/>
        <w:rPr>
          <w:rFonts w:ascii="Arial" w:eastAsia="Times New Roman" w:hAnsi="Arial" w:cs="Times New Roman"/>
          <w:b/>
          <w:szCs w:val="20"/>
          <w:u w:val="single"/>
        </w:rPr>
      </w:pPr>
      <w:bookmarkStart w:id="0" w:name="_Hlk9490714"/>
      <w:r w:rsidRPr="00A7270B">
        <w:rPr>
          <w:rFonts w:ascii="Arial" w:eastAsia="Times New Roman" w:hAnsi="Arial" w:cs="Times New Roman"/>
          <w:b/>
          <w:szCs w:val="20"/>
          <w:u w:val="single"/>
        </w:rPr>
        <w:lastRenderedPageBreak/>
        <w:t>Qualification Summary</w:t>
      </w:r>
    </w:p>
    <w:p w14:paraId="6CF24669" w14:textId="3E8BC1A8" w:rsidR="009327F1" w:rsidRPr="009327F1" w:rsidRDefault="009327F1" w:rsidP="00AE0C91">
      <w:pPr>
        <w:spacing w:after="0" w:line="240" w:lineRule="auto"/>
        <w:jc w:val="center"/>
        <w:rPr>
          <w:rFonts w:ascii="Arial" w:eastAsia="Times New Roman" w:hAnsi="Arial" w:cs="Times New Roman"/>
          <w:szCs w:val="20"/>
        </w:rPr>
      </w:pPr>
      <w:r>
        <w:rPr>
          <w:rFonts w:ascii="Arial" w:eastAsia="Times New Roman" w:hAnsi="Arial" w:cs="Times New Roman"/>
          <w:szCs w:val="20"/>
        </w:rPr>
        <w:t>P/N: CMP</w:t>
      </w:r>
      <w:r w:rsidR="00813A44">
        <w:rPr>
          <w:rFonts w:ascii="Arial" w:eastAsia="Times New Roman" w:hAnsi="Arial" w:cs="Times New Roman"/>
          <w:szCs w:val="20"/>
        </w:rPr>
        <w:t>T3820</w:t>
      </w:r>
    </w:p>
    <w:p w14:paraId="1D4CFB33" w14:textId="77777777" w:rsidR="00076778" w:rsidRPr="00076778" w:rsidRDefault="00076778" w:rsidP="00076778">
      <w:pPr>
        <w:overflowPunct w:val="0"/>
        <w:autoSpaceDE w:val="0"/>
        <w:autoSpaceDN w:val="0"/>
        <w:adjustRightInd w:val="0"/>
        <w:spacing w:before="175" w:after="0" w:line="20" w:lineRule="exact"/>
        <w:textAlignment w:val="baseline"/>
        <w:rPr>
          <w:rFonts w:ascii="Arial" w:eastAsia="Times New Roman" w:hAnsi="Arial" w:cs="Times New Roman"/>
          <w:sz w:val="20"/>
          <w:szCs w:val="20"/>
        </w:rPr>
      </w:pPr>
    </w:p>
    <w:tbl>
      <w:tblPr>
        <w:tblW w:w="10615" w:type="dxa"/>
        <w:jc w:val="center"/>
        <w:tblLayout w:type="fixed"/>
        <w:tblLook w:val="04A0" w:firstRow="1" w:lastRow="0" w:firstColumn="1" w:lastColumn="0" w:noHBand="0" w:noVBand="1"/>
      </w:tblPr>
      <w:tblGrid>
        <w:gridCol w:w="1446"/>
        <w:gridCol w:w="889"/>
        <w:gridCol w:w="2970"/>
        <w:gridCol w:w="4151"/>
        <w:gridCol w:w="1159"/>
      </w:tblGrid>
      <w:tr w:rsidR="00CE4AAD" w:rsidRPr="00076778" w14:paraId="253E6312" w14:textId="77777777" w:rsidTr="00C43A0C">
        <w:trPr>
          <w:trHeight w:val="530"/>
          <w:jc w:val="center"/>
        </w:trPr>
        <w:tc>
          <w:tcPr>
            <w:tcW w:w="1446"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160F7732" w14:textId="77777777" w:rsidR="00CE4AAD" w:rsidRPr="00C43A0C" w:rsidRDefault="00CE4AAD" w:rsidP="00076778">
            <w:pPr>
              <w:spacing w:after="0" w:line="240" w:lineRule="auto"/>
              <w:jc w:val="center"/>
              <w:rPr>
                <w:rFonts w:ascii="Calibri" w:eastAsia="Times New Roman" w:hAnsi="Calibri" w:cs="Calibri"/>
                <w:b/>
                <w:bCs/>
              </w:rPr>
            </w:pPr>
            <w:r w:rsidRPr="00C43A0C">
              <w:rPr>
                <w:rFonts w:ascii="Calibri" w:eastAsia="Times New Roman" w:hAnsi="Calibri" w:cs="Calibri"/>
                <w:b/>
                <w:bCs/>
              </w:rPr>
              <w:t>Test</w:t>
            </w:r>
          </w:p>
        </w:tc>
        <w:tc>
          <w:tcPr>
            <w:tcW w:w="889" w:type="dxa"/>
            <w:tcBorders>
              <w:top w:val="single" w:sz="4" w:space="0" w:color="auto"/>
              <w:left w:val="nil"/>
              <w:bottom w:val="single" w:sz="4" w:space="0" w:color="auto"/>
              <w:right w:val="single" w:sz="4" w:space="0" w:color="auto"/>
            </w:tcBorders>
            <w:shd w:val="clear" w:color="000000" w:fill="E7E6E6"/>
            <w:vAlign w:val="center"/>
            <w:hideMark/>
          </w:tcPr>
          <w:p w14:paraId="6A5C8297" w14:textId="5671A14B" w:rsidR="00CE4AAD" w:rsidRPr="00C43A0C" w:rsidRDefault="00661D37" w:rsidP="00076778">
            <w:pPr>
              <w:spacing w:after="0" w:line="240" w:lineRule="auto"/>
              <w:jc w:val="center"/>
              <w:rPr>
                <w:rFonts w:ascii="Calibri" w:eastAsia="Times New Roman" w:hAnsi="Calibri" w:cs="Calibri"/>
                <w:b/>
                <w:bCs/>
              </w:rPr>
            </w:pPr>
            <w:r w:rsidRPr="00C43A0C">
              <w:rPr>
                <w:rFonts w:ascii="Calibri" w:eastAsia="Times New Roman" w:hAnsi="Calibri" w:cs="Calibri"/>
                <w:b/>
                <w:bCs/>
              </w:rPr>
              <w:t>Qty</w:t>
            </w:r>
          </w:p>
        </w:tc>
        <w:tc>
          <w:tcPr>
            <w:tcW w:w="2970" w:type="dxa"/>
            <w:tcBorders>
              <w:top w:val="single" w:sz="4" w:space="0" w:color="auto"/>
              <w:left w:val="nil"/>
              <w:bottom w:val="single" w:sz="4" w:space="0" w:color="auto"/>
              <w:right w:val="single" w:sz="4" w:space="0" w:color="auto"/>
            </w:tcBorders>
            <w:shd w:val="clear" w:color="000000" w:fill="E7E6E6"/>
          </w:tcPr>
          <w:p w14:paraId="7A0ADB5B" w14:textId="77777777" w:rsidR="00CE4AAD" w:rsidRPr="00C43A0C" w:rsidRDefault="00CE4AAD" w:rsidP="00A56EAA">
            <w:pPr>
              <w:spacing w:after="0" w:line="240" w:lineRule="auto"/>
              <w:rPr>
                <w:rFonts w:ascii="Calibri" w:eastAsia="Times New Roman" w:hAnsi="Calibri" w:cs="Calibri"/>
                <w:b/>
                <w:bCs/>
              </w:rPr>
            </w:pPr>
          </w:p>
          <w:p w14:paraId="0D8E1F9B" w14:textId="77777777" w:rsidR="00CE4AAD" w:rsidRPr="00C43A0C" w:rsidRDefault="00CE4AAD" w:rsidP="00793B3A">
            <w:pPr>
              <w:spacing w:after="0" w:line="480" w:lineRule="auto"/>
              <w:jc w:val="center"/>
              <w:rPr>
                <w:rFonts w:ascii="Calibri" w:eastAsia="Times New Roman" w:hAnsi="Calibri" w:cs="Calibri"/>
                <w:b/>
                <w:bCs/>
              </w:rPr>
            </w:pPr>
            <w:r w:rsidRPr="00C43A0C">
              <w:rPr>
                <w:rFonts w:ascii="Calibri" w:eastAsia="Times New Roman" w:hAnsi="Calibri" w:cs="Calibri"/>
                <w:b/>
                <w:bCs/>
              </w:rPr>
              <w:t>Reference</w:t>
            </w:r>
          </w:p>
        </w:tc>
        <w:tc>
          <w:tcPr>
            <w:tcW w:w="4151" w:type="dxa"/>
            <w:tcBorders>
              <w:top w:val="single" w:sz="4" w:space="0" w:color="auto"/>
              <w:left w:val="single" w:sz="4" w:space="0" w:color="auto"/>
              <w:bottom w:val="single" w:sz="4" w:space="0" w:color="auto"/>
              <w:right w:val="single" w:sz="4" w:space="0" w:color="auto"/>
            </w:tcBorders>
            <w:shd w:val="clear" w:color="000000" w:fill="E7E6E6"/>
          </w:tcPr>
          <w:p w14:paraId="4A4EC429" w14:textId="77777777" w:rsidR="00AB1FBB" w:rsidRPr="00C43A0C" w:rsidRDefault="00AB1FBB" w:rsidP="00793B3A">
            <w:pPr>
              <w:spacing w:after="0" w:line="240" w:lineRule="auto"/>
              <w:jc w:val="center"/>
              <w:rPr>
                <w:rFonts w:ascii="Calibri" w:eastAsia="Times New Roman" w:hAnsi="Calibri" w:cs="Calibri"/>
                <w:b/>
                <w:bCs/>
              </w:rPr>
            </w:pPr>
          </w:p>
          <w:p w14:paraId="021B3B73" w14:textId="4D477B37" w:rsidR="00CE4AAD" w:rsidRPr="00C43A0C" w:rsidRDefault="00661D37" w:rsidP="00793B3A">
            <w:pPr>
              <w:spacing w:after="0" w:line="240" w:lineRule="auto"/>
              <w:jc w:val="center"/>
              <w:rPr>
                <w:rFonts w:ascii="Calibri" w:eastAsia="Times New Roman" w:hAnsi="Calibri" w:cs="Calibri"/>
                <w:b/>
                <w:bCs/>
              </w:rPr>
            </w:pPr>
            <w:r w:rsidRPr="00C43A0C">
              <w:rPr>
                <w:rFonts w:ascii="Calibri" w:eastAsia="Times New Roman" w:hAnsi="Calibri" w:cs="Calibri"/>
                <w:b/>
                <w:bCs/>
              </w:rPr>
              <w:t>Conditions</w:t>
            </w:r>
          </w:p>
        </w:tc>
        <w:tc>
          <w:tcPr>
            <w:tcW w:w="1159" w:type="dxa"/>
            <w:tcBorders>
              <w:top w:val="single" w:sz="4" w:space="0" w:color="auto"/>
              <w:left w:val="single" w:sz="4" w:space="0" w:color="auto"/>
              <w:bottom w:val="single" w:sz="4" w:space="0" w:color="auto"/>
              <w:right w:val="single" w:sz="4" w:space="0" w:color="auto"/>
            </w:tcBorders>
            <w:shd w:val="clear" w:color="000000" w:fill="E7E6E6"/>
          </w:tcPr>
          <w:p w14:paraId="69C46033" w14:textId="77777777" w:rsidR="00CE4AAD" w:rsidRPr="00C43A0C" w:rsidRDefault="00CE4AAD" w:rsidP="00793B3A">
            <w:pPr>
              <w:spacing w:after="0" w:line="240" w:lineRule="auto"/>
              <w:jc w:val="center"/>
              <w:rPr>
                <w:rFonts w:ascii="Calibri" w:eastAsia="Times New Roman" w:hAnsi="Calibri" w:cs="Calibri"/>
                <w:b/>
                <w:bCs/>
              </w:rPr>
            </w:pPr>
          </w:p>
          <w:p w14:paraId="2DAB71ED" w14:textId="77777777" w:rsidR="00CE4AAD" w:rsidRPr="00C43A0C" w:rsidRDefault="00CE4AAD" w:rsidP="00793B3A">
            <w:pPr>
              <w:spacing w:after="0" w:line="240" w:lineRule="auto"/>
              <w:jc w:val="center"/>
              <w:rPr>
                <w:rFonts w:ascii="Calibri" w:eastAsia="Times New Roman" w:hAnsi="Calibri" w:cs="Calibri"/>
                <w:b/>
                <w:bCs/>
              </w:rPr>
            </w:pPr>
            <w:r w:rsidRPr="00C43A0C">
              <w:rPr>
                <w:rFonts w:ascii="Calibri" w:eastAsia="Times New Roman" w:hAnsi="Calibri" w:cs="Calibri"/>
                <w:b/>
                <w:bCs/>
              </w:rPr>
              <w:t>Pass/Fail</w:t>
            </w:r>
          </w:p>
        </w:tc>
      </w:tr>
      <w:bookmarkEnd w:id="0"/>
      <w:tr w:rsidR="004336F7" w:rsidRPr="003707A4" w14:paraId="1A7CC827" w14:textId="77777777" w:rsidTr="004336F7">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4FC47DB" w14:textId="19FAB429" w:rsidR="004336F7" w:rsidRPr="003707A4" w:rsidRDefault="004336F7" w:rsidP="004336F7">
            <w:pPr>
              <w:spacing w:after="0" w:line="240" w:lineRule="auto"/>
              <w:rPr>
                <w:rFonts w:ascii="Calibri" w:eastAsia="Times New Roman" w:hAnsi="Calibri" w:cs="Calibri"/>
                <w:bCs/>
              </w:rPr>
            </w:pPr>
            <w:r>
              <w:rPr>
                <w:rFonts w:ascii="Calibri" w:hAnsi="Calibri" w:cs="Calibri"/>
                <w:color w:val="000000"/>
              </w:rPr>
              <w:t>ESD HBM</w:t>
            </w:r>
          </w:p>
        </w:tc>
        <w:tc>
          <w:tcPr>
            <w:tcW w:w="889" w:type="dxa"/>
            <w:tcBorders>
              <w:top w:val="single" w:sz="4" w:space="0" w:color="auto"/>
              <w:left w:val="nil"/>
              <w:bottom w:val="single" w:sz="4" w:space="0" w:color="auto"/>
              <w:right w:val="single" w:sz="4" w:space="0" w:color="auto"/>
            </w:tcBorders>
            <w:shd w:val="clear" w:color="auto" w:fill="auto"/>
            <w:vAlign w:val="center"/>
          </w:tcPr>
          <w:p w14:paraId="1D5D6491" w14:textId="05461F9F" w:rsidR="004336F7" w:rsidRPr="003707A4" w:rsidRDefault="004336F7" w:rsidP="004336F7">
            <w:pPr>
              <w:spacing w:after="0" w:line="240" w:lineRule="auto"/>
              <w:jc w:val="center"/>
              <w:rPr>
                <w:rFonts w:ascii="Calibri" w:eastAsia="Times New Roman" w:hAnsi="Calibri" w:cs="Calibri"/>
              </w:rPr>
            </w:pPr>
            <w:r>
              <w:rPr>
                <w:rFonts w:ascii="Calibri" w:hAnsi="Calibri" w:cs="Calibri"/>
                <w:color w:val="000000"/>
              </w:rPr>
              <w:t>3</w:t>
            </w:r>
          </w:p>
        </w:tc>
        <w:tc>
          <w:tcPr>
            <w:tcW w:w="2970" w:type="dxa"/>
            <w:tcBorders>
              <w:top w:val="single" w:sz="4" w:space="0" w:color="auto"/>
              <w:left w:val="nil"/>
              <w:bottom w:val="single" w:sz="4" w:space="0" w:color="auto"/>
              <w:right w:val="single" w:sz="4" w:space="0" w:color="auto"/>
            </w:tcBorders>
            <w:shd w:val="clear" w:color="auto" w:fill="auto"/>
            <w:vAlign w:val="center"/>
          </w:tcPr>
          <w:p w14:paraId="22E7D782" w14:textId="6A7678F0" w:rsidR="004336F7" w:rsidRPr="003707A4" w:rsidRDefault="004336F7" w:rsidP="004336F7">
            <w:pPr>
              <w:spacing w:after="0" w:line="240" w:lineRule="auto"/>
              <w:rPr>
                <w:rFonts w:ascii="Calibri" w:eastAsia="Times New Roman" w:hAnsi="Calibri" w:cs="Calibri"/>
              </w:rPr>
            </w:pPr>
            <w:r>
              <w:rPr>
                <w:rFonts w:ascii="Calibri" w:hAnsi="Calibri" w:cs="Calibri"/>
                <w:color w:val="000000"/>
              </w:rPr>
              <w:t>JS-001-2017</w:t>
            </w:r>
          </w:p>
        </w:tc>
        <w:tc>
          <w:tcPr>
            <w:tcW w:w="4151" w:type="dxa"/>
            <w:tcBorders>
              <w:top w:val="single" w:sz="4" w:space="0" w:color="auto"/>
              <w:left w:val="single" w:sz="4" w:space="0" w:color="auto"/>
              <w:bottom w:val="single" w:sz="4" w:space="0" w:color="auto"/>
              <w:right w:val="single" w:sz="4" w:space="0" w:color="auto"/>
            </w:tcBorders>
            <w:shd w:val="clear" w:color="auto" w:fill="auto"/>
            <w:vAlign w:val="center"/>
          </w:tcPr>
          <w:p w14:paraId="33435EFC" w14:textId="534062A0" w:rsidR="004336F7" w:rsidRPr="003707A4" w:rsidRDefault="004336F7" w:rsidP="004336F7">
            <w:pPr>
              <w:spacing w:after="0" w:line="240" w:lineRule="auto"/>
              <w:rPr>
                <w:rFonts w:ascii="Calibri" w:eastAsia="Times New Roman" w:hAnsi="Calibri" w:cs="Calibri"/>
              </w:rPr>
            </w:pPr>
            <w:r>
              <w:rPr>
                <w:rFonts w:ascii="Calibri" w:hAnsi="Calibri" w:cs="Calibri"/>
                <w:color w:val="000000"/>
              </w:rPr>
              <w:t>Start at 2000 V. Step down voltage by 1/2 if failure is observed. 3 devices must pass at a given ESD voltage level. Apply voltage pulse across each permutation of pins on DUT.</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3A9FAB56" w14:textId="4B86A79D" w:rsidR="004336F7" w:rsidRPr="003707A4" w:rsidRDefault="004336F7" w:rsidP="004336F7">
            <w:pPr>
              <w:spacing w:after="0" w:line="240" w:lineRule="auto"/>
              <w:jc w:val="center"/>
              <w:rPr>
                <w:rFonts w:ascii="Calibri" w:eastAsia="Times New Roman" w:hAnsi="Calibri" w:cs="Calibri"/>
              </w:rPr>
            </w:pPr>
            <w:r>
              <w:rPr>
                <w:rFonts w:ascii="Calibri" w:hAnsi="Calibri" w:cs="Calibri"/>
                <w:color w:val="000000"/>
              </w:rPr>
              <w:t>Pass</w:t>
            </w:r>
          </w:p>
        </w:tc>
      </w:tr>
      <w:tr w:rsidR="004336F7" w:rsidRPr="003707A4" w14:paraId="642EED35" w14:textId="77777777" w:rsidTr="004336F7">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01745B4" w14:textId="008C30FD" w:rsidR="004336F7" w:rsidRPr="003707A4" w:rsidRDefault="004336F7" w:rsidP="004336F7">
            <w:pPr>
              <w:spacing w:after="0" w:line="240" w:lineRule="auto"/>
              <w:rPr>
                <w:rFonts w:ascii="Calibri" w:eastAsia="Times New Roman" w:hAnsi="Calibri" w:cs="Calibri"/>
                <w:bCs/>
              </w:rPr>
            </w:pPr>
            <w:r>
              <w:rPr>
                <w:rFonts w:ascii="Calibri" w:hAnsi="Calibri" w:cs="Calibri"/>
                <w:color w:val="000000"/>
              </w:rPr>
              <w:t>W/B Pull</w:t>
            </w:r>
          </w:p>
        </w:tc>
        <w:tc>
          <w:tcPr>
            <w:tcW w:w="889" w:type="dxa"/>
            <w:tcBorders>
              <w:top w:val="single" w:sz="4" w:space="0" w:color="auto"/>
              <w:left w:val="nil"/>
              <w:bottom w:val="single" w:sz="4" w:space="0" w:color="auto"/>
              <w:right w:val="single" w:sz="4" w:space="0" w:color="auto"/>
            </w:tcBorders>
            <w:shd w:val="clear" w:color="auto" w:fill="auto"/>
            <w:vAlign w:val="center"/>
          </w:tcPr>
          <w:p w14:paraId="57D9D372" w14:textId="3B68967F" w:rsidR="004336F7" w:rsidRPr="003707A4" w:rsidRDefault="004336F7" w:rsidP="004336F7">
            <w:pPr>
              <w:spacing w:after="0" w:line="240" w:lineRule="auto"/>
              <w:jc w:val="center"/>
              <w:rPr>
                <w:rFonts w:ascii="Calibri" w:eastAsia="Times New Roman" w:hAnsi="Calibri" w:cs="Calibri"/>
              </w:rPr>
            </w:pPr>
            <w:r>
              <w:rPr>
                <w:rFonts w:ascii="Calibri" w:hAnsi="Calibri" w:cs="Calibri"/>
                <w:color w:val="000000"/>
              </w:rPr>
              <w:t>5</w:t>
            </w:r>
          </w:p>
        </w:tc>
        <w:tc>
          <w:tcPr>
            <w:tcW w:w="2970" w:type="dxa"/>
            <w:tcBorders>
              <w:top w:val="single" w:sz="4" w:space="0" w:color="auto"/>
              <w:left w:val="nil"/>
              <w:bottom w:val="single" w:sz="4" w:space="0" w:color="auto"/>
              <w:right w:val="single" w:sz="4" w:space="0" w:color="auto"/>
            </w:tcBorders>
            <w:shd w:val="clear" w:color="auto" w:fill="auto"/>
            <w:vAlign w:val="center"/>
          </w:tcPr>
          <w:p w14:paraId="5A919A13" w14:textId="73D42060" w:rsidR="004336F7" w:rsidRPr="003707A4" w:rsidRDefault="004336F7" w:rsidP="004336F7">
            <w:pPr>
              <w:spacing w:after="0" w:line="240" w:lineRule="auto"/>
              <w:rPr>
                <w:rFonts w:ascii="Calibri" w:eastAsia="Times New Roman" w:hAnsi="Calibri" w:cs="Calibri"/>
              </w:rPr>
            </w:pPr>
            <w:r>
              <w:rPr>
                <w:rFonts w:ascii="Calibri" w:hAnsi="Calibri" w:cs="Calibri"/>
                <w:color w:val="000000"/>
              </w:rPr>
              <w:t>MIL-STD-750 TM2037, condition C/D.</w:t>
            </w:r>
          </w:p>
        </w:tc>
        <w:tc>
          <w:tcPr>
            <w:tcW w:w="4151" w:type="dxa"/>
            <w:tcBorders>
              <w:top w:val="single" w:sz="4" w:space="0" w:color="auto"/>
              <w:left w:val="single" w:sz="4" w:space="0" w:color="auto"/>
              <w:bottom w:val="single" w:sz="4" w:space="0" w:color="auto"/>
              <w:right w:val="single" w:sz="4" w:space="0" w:color="auto"/>
            </w:tcBorders>
            <w:shd w:val="clear" w:color="auto" w:fill="auto"/>
            <w:vAlign w:val="center"/>
          </w:tcPr>
          <w:p w14:paraId="1ED0A6B1" w14:textId="6F63C4B8" w:rsidR="004336F7" w:rsidRPr="003707A4" w:rsidRDefault="004336F7" w:rsidP="004336F7">
            <w:pPr>
              <w:spacing w:after="0" w:line="240" w:lineRule="auto"/>
              <w:rPr>
                <w:rFonts w:ascii="Calibri" w:eastAsia="Times New Roman" w:hAnsi="Calibri" w:cs="Calibri"/>
              </w:rPr>
            </w:pPr>
            <w:r>
              <w:rPr>
                <w:rFonts w:ascii="Calibri" w:hAnsi="Calibri" w:cs="Calibri"/>
                <w:color w:val="000000"/>
              </w:rPr>
              <w:t>Apply force sufficient to detach the wirebond.</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45979B55" w14:textId="4ED240D7" w:rsidR="004336F7" w:rsidRPr="003707A4" w:rsidRDefault="004336F7" w:rsidP="004336F7">
            <w:pPr>
              <w:spacing w:after="0" w:line="240" w:lineRule="auto"/>
              <w:jc w:val="center"/>
              <w:rPr>
                <w:rFonts w:ascii="Calibri" w:eastAsia="Times New Roman" w:hAnsi="Calibri" w:cs="Calibri"/>
              </w:rPr>
            </w:pPr>
            <w:r w:rsidRPr="00A77BB4">
              <w:rPr>
                <w:rFonts w:ascii="Calibri" w:hAnsi="Calibri" w:cs="Calibri"/>
                <w:color w:val="000000"/>
              </w:rPr>
              <w:t>Pass</w:t>
            </w:r>
          </w:p>
        </w:tc>
      </w:tr>
      <w:tr w:rsidR="004336F7" w:rsidRPr="003707A4" w14:paraId="1F0C56DD" w14:textId="77777777" w:rsidTr="004336F7">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74F0894" w14:textId="05BB50AA" w:rsidR="004336F7" w:rsidRPr="003707A4" w:rsidRDefault="004336F7" w:rsidP="004336F7">
            <w:pPr>
              <w:spacing w:after="0" w:line="240" w:lineRule="auto"/>
              <w:rPr>
                <w:rFonts w:ascii="Calibri" w:eastAsia="Times New Roman" w:hAnsi="Calibri" w:cs="Calibri"/>
                <w:bCs/>
              </w:rPr>
            </w:pPr>
            <w:r>
              <w:rPr>
                <w:rFonts w:ascii="Calibri" w:hAnsi="Calibri" w:cs="Calibri"/>
                <w:color w:val="000000"/>
              </w:rPr>
              <w:t>Die Shear</w:t>
            </w:r>
          </w:p>
        </w:tc>
        <w:tc>
          <w:tcPr>
            <w:tcW w:w="889" w:type="dxa"/>
            <w:tcBorders>
              <w:top w:val="single" w:sz="4" w:space="0" w:color="auto"/>
              <w:left w:val="nil"/>
              <w:bottom w:val="single" w:sz="4" w:space="0" w:color="auto"/>
              <w:right w:val="single" w:sz="4" w:space="0" w:color="auto"/>
            </w:tcBorders>
            <w:shd w:val="clear" w:color="auto" w:fill="auto"/>
            <w:vAlign w:val="center"/>
          </w:tcPr>
          <w:p w14:paraId="2E091F69" w14:textId="1BA76546" w:rsidR="004336F7" w:rsidRPr="003707A4" w:rsidRDefault="004336F7" w:rsidP="004336F7">
            <w:pPr>
              <w:spacing w:after="0" w:line="240" w:lineRule="auto"/>
              <w:jc w:val="center"/>
              <w:rPr>
                <w:rFonts w:ascii="Calibri" w:eastAsia="Times New Roman" w:hAnsi="Calibri" w:cs="Calibri"/>
              </w:rPr>
            </w:pPr>
            <w:r>
              <w:rPr>
                <w:rFonts w:ascii="Calibri" w:hAnsi="Calibri" w:cs="Calibri"/>
                <w:color w:val="000000"/>
              </w:rPr>
              <w:t>5</w:t>
            </w:r>
          </w:p>
        </w:tc>
        <w:tc>
          <w:tcPr>
            <w:tcW w:w="2970" w:type="dxa"/>
            <w:tcBorders>
              <w:top w:val="single" w:sz="4" w:space="0" w:color="auto"/>
              <w:left w:val="nil"/>
              <w:bottom w:val="single" w:sz="4" w:space="0" w:color="auto"/>
              <w:right w:val="single" w:sz="4" w:space="0" w:color="auto"/>
            </w:tcBorders>
            <w:shd w:val="clear" w:color="auto" w:fill="auto"/>
            <w:vAlign w:val="center"/>
          </w:tcPr>
          <w:p w14:paraId="2F06CC8C" w14:textId="0E532992" w:rsidR="004336F7" w:rsidRPr="003707A4" w:rsidRDefault="004336F7" w:rsidP="004336F7">
            <w:pPr>
              <w:spacing w:after="0" w:line="240" w:lineRule="auto"/>
              <w:rPr>
                <w:rFonts w:ascii="Calibri" w:eastAsia="Times New Roman" w:hAnsi="Calibri" w:cs="Calibri"/>
              </w:rPr>
            </w:pPr>
            <w:r>
              <w:rPr>
                <w:rFonts w:ascii="Calibri" w:hAnsi="Calibri" w:cs="Calibri"/>
                <w:color w:val="000000"/>
              </w:rPr>
              <w:t>MIL-STD-750 TM2017, condition A.</w:t>
            </w:r>
          </w:p>
        </w:tc>
        <w:tc>
          <w:tcPr>
            <w:tcW w:w="4151" w:type="dxa"/>
            <w:tcBorders>
              <w:top w:val="single" w:sz="4" w:space="0" w:color="auto"/>
              <w:left w:val="single" w:sz="4" w:space="0" w:color="auto"/>
              <w:bottom w:val="single" w:sz="4" w:space="0" w:color="auto"/>
              <w:right w:val="single" w:sz="4" w:space="0" w:color="auto"/>
            </w:tcBorders>
            <w:shd w:val="clear" w:color="auto" w:fill="auto"/>
            <w:vAlign w:val="center"/>
          </w:tcPr>
          <w:p w14:paraId="32E1E2B0" w14:textId="57C4E5C2" w:rsidR="004336F7" w:rsidRPr="003707A4" w:rsidRDefault="004336F7" w:rsidP="004336F7">
            <w:pPr>
              <w:spacing w:after="0" w:line="240" w:lineRule="auto"/>
              <w:rPr>
                <w:rFonts w:ascii="Calibri" w:eastAsia="Times New Roman" w:hAnsi="Calibri" w:cs="Calibri"/>
              </w:rPr>
            </w:pPr>
            <w:r>
              <w:rPr>
                <w:rFonts w:ascii="Calibri" w:hAnsi="Calibri" w:cs="Calibri"/>
                <w:color w:val="000000"/>
              </w:rPr>
              <w:t>Apply force sufficient to shear the die from its mounting.</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1EC24CE3" w14:textId="063CB02B" w:rsidR="004336F7" w:rsidRPr="003707A4" w:rsidRDefault="004336F7" w:rsidP="004336F7">
            <w:pPr>
              <w:spacing w:after="0" w:line="240" w:lineRule="auto"/>
              <w:jc w:val="center"/>
              <w:rPr>
                <w:rFonts w:ascii="Calibri" w:eastAsia="Times New Roman" w:hAnsi="Calibri" w:cs="Calibri"/>
              </w:rPr>
            </w:pPr>
            <w:r w:rsidRPr="00A77BB4">
              <w:rPr>
                <w:rFonts w:ascii="Calibri" w:hAnsi="Calibri" w:cs="Calibri"/>
                <w:color w:val="000000"/>
              </w:rPr>
              <w:t>Pass</w:t>
            </w:r>
          </w:p>
        </w:tc>
      </w:tr>
      <w:tr w:rsidR="004336F7" w:rsidRPr="003707A4" w14:paraId="0EDFBAB3" w14:textId="77777777" w:rsidTr="004336F7">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76D312E" w14:textId="79D1FAA4" w:rsidR="004336F7" w:rsidRPr="003707A4" w:rsidRDefault="004336F7" w:rsidP="004336F7">
            <w:pPr>
              <w:spacing w:after="0" w:line="240" w:lineRule="auto"/>
              <w:rPr>
                <w:rFonts w:ascii="Calibri" w:eastAsia="Times New Roman" w:hAnsi="Calibri" w:cs="Calibri"/>
                <w:bCs/>
              </w:rPr>
            </w:pPr>
            <w:r>
              <w:rPr>
                <w:rFonts w:ascii="Calibri" w:hAnsi="Calibri" w:cs="Calibri"/>
                <w:color w:val="000000"/>
              </w:rPr>
              <w:t>Pre-Cond</w:t>
            </w:r>
          </w:p>
        </w:tc>
        <w:tc>
          <w:tcPr>
            <w:tcW w:w="889" w:type="dxa"/>
            <w:tcBorders>
              <w:top w:val="single" w:sz="4" w:space="0" w:color="auto"/>
              <w:left w:val="nil"/>
              <w:bottom w:val="single" w:sz="4" w:space="0" w:color="auto"/>
              <w:right w:val="single" w:sz="4" w:space="0" w:color="auto"/>
            </w:tcBorders>
            <w:shd w:val="clear" w:color="auto" w:fill="auto"/>
            <w:vAlign w:val="center"/>
          </w:tcPr>
          <w:p w14:paraId="730483D4" w14:textId="3AD95503" w:rsidR="004336F7" w:rsidRPr="003707A4" w:rsidRDefault="004336F7" w:rsidP="004336F7">
            <w:pPr>
              <w:spacing w:after="0" w:line="240" w:lineRule="auto"/>
              <w:jc w:val="center"/>
              <w:rPr>
                <w:rFonts w:ascii="Calibri" w:eastAsia="Times New Roman" w:hAnsi="Calibri" w:cs="Calibri"/>
              </w:rPr>
            </w:pPr>
            <w:r>
              <w:rPr>
                <w:rFonts w:ascii="Calibri" w:hAnsi="Calibri" w:cs="Calibri"/>
                <w:color w:val="000000"/>
              </w:rPr>
              <w:t>400</w:t>
            </w:r>
          </w:p>
        </w:tc>
        <w:tc>
          <w:tcPr>
            <w:tcW w:w="2970" w:type="dxa"/>
            <w:tcBorders>
              <w:top w:val="single" w:sz="4" w:space="0" w:color="auto"/>
              <w:left w:val="nil"/>
              <w:bottom w:val="single" w:sz="4" w:space="0" w:color="auto"/>
              <w:right w:val="single" w:sz="4" w:space="0" w:color="auto"/>
            </w:tcBorders>
            <w:shd w:val="clear" w:color="auto" w:fill="auto"/>
            <w:vAlign w:val="center"/>
          </w:tcPr>
          <w:p w14:paraId="0F425F38" w14:textId="7878DA3F" w:rsidR="004336F7" w:rsidRPr="003707A4" w:rsidRDefault="004336F7" w:rsidP="004336F7">
            <w:pPr>
              <w:spacing w:after="0" w:line="240" w:lineRule="auto"/>
              <w:rPr>
                <w:rFonts w:ascii="Calibri" w:eastAsia="Times New Roman" w:hAnsi="Calibri" w:cs="Calibri"/>
              </w:rPr>
            </w:pPr>
            <w:r>
              <w:rPr>
                <w:rFonts w:ascii="Calibri" w:hAnsi="Calibri" w:cs="Calibri"/>
                <w:color w:val="000000"/>
              </w:rPr>
              <w:t>JESD22-A113</w:t>
            </w:r>
          </w:p>
        </w:tc>
        <w:tc>
          <w:tcPr>
            <w:tcW w:w="4151" w:type="dxa"/>
            <w:tcBorders>
              <w:top w:val="single" w:sz="4" w:space="0" w:color="auto"/>
              <w:left w:val="single" w:sz="4" w:space="0" w:color="auto"/>
              <w:bottom w:val="single" w:sz="4" w:space="0" w:color="auto"/>
              <w:right w:val="single" w:sz="4" w:space="0" w:color="auto"/>
            </w:tcBorders>
            <w:shd w:val="clear" w:color="auto" w:fill="auto"/>
            <w:vAlign w:val="center"/>
          </w:tcPr>
          <w:p w14:paraId="004B9CEC" w14:textId="3BC72734" w:rsidR="004336F7" w:rsidRPr="003707A4" w:rsidRDefault="004336F7" w:rsidP="004336F7">
            <w:pPr>
              <w:spacing w:after="0" w:line="240" w:lineRule="auto"/>
              <w:rPr>
                <w:rFonts w:ascii="Calibri" w:eastAsia="Times New Roman" w:hAnsi="Calibri" w:cs="Calibri"/>
              </w:rPr>
            </w:pPr>
            <w:r>
              <w:rPr>
                <w:rFonts w:ascii="Calibri" w:hAnsi="Calibri" w:cs="Calibri"/>
                <w:color w:val="000000"/>
              </w:rPr>
              <w:t>Sequence: initial electrical test, visual inspection, temperature cycle, bake, moisture soak, reflow, flux soak, clean &amp; dry, and final electrical test.</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6FCFB856" w14:textId="4DA5DFE8" w:rsidR="004336F7" w:rsidRPr="003707A4" w:rsidRDefault="004336F7" w:rsidP="004336F7">
            <w:pPr>
              <w:spacing w:after="0" w:line="240" w:lineRule="auto"/>
              <w:jc w:val="center"/>
              <w:rPr>
                <w:rFonts w:ascii="Calibri" w:eastAsia="Times New Roman" w:hAnsi="Calibri" w:cs="Calibri"/>
              </w:rPr>
            </w:pPr>
            <w:r w:rsidRPr="00A77BB4">
              <w:rPr>
                <w:rFonts w:ascii="Calibri" w:hAnsi="Calibri" w:cs="Calibri"/>
                <w:color w:val="000000"/>
              </w:rPr>
              <w:t>Pass</w:t>
            </w:r>
          </w:p>
        </w:tc>
      </w:tr>
      <w:tr w:rsidR="004336F7" w:rsidRPr="003707A4" w14:paraId="56C24FAB" w14:textId="77777777" w:rsidTr="004336F7">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80A25D7" w14:textId="17DA35BD" w:rsidR="004336F7" w:rsidRPr="003707A4" w:rsidRDefault="004336F7" w:rsidP="004336F7">
            <w:pPr>
              <w:spacing w:after="0" w:line="240" w:lineRule="auto"/>
              <w:rPr>
                <w:rFonts w:ascii="Calibri" w:eastAsia="Times New Roman" w:hAnsi="Calibri" w:cs="Calibri"/>
                <w:bCs/>
              </w:rPr>
            </w:pPr>
            <w:r>
              <w:rPr>
                <w:rFonts w:ascii="Calibri" w:hAnsi="Calibri" w:cs="Calibri"/>
                <w:color w:val="000000"/>
              </w:rPr>
              <w:t>Solder Shock</w:t>
            </w:r>
          </w:p>
        </w:tc>
        <w:tc>
          <w:tcPr>
            <w:tcW w:w="889" w:type="dxa"/>
            <w:tcBorders>
              <w:top w:val="single" w:sz="4" w:space="0" w:color="auto"/>
              <w:left w:val="nil"/>
              <w:bottom w:val="single" w:sz="4" w:space="0" w:color="auto"/>
              <w:right w:val="single" w:sz="4" w:space="0" w:color="auto"/>
            </w:tcBorders>
            <w:shd w:val="clear" w:color="auto" w:fill="auto"/>
            <w:vAlign w:val="center"/>
          </w:tcPr>
          <w:p w14:paraId="785A8783" w14:textId="719655C0" w:rsidR="004336F7" w:rsidRPr="003707A4" w:rsidRDefault="004336F7" w:rsidP="004336F7">
            <w:pPr>
              <w:spacing w:after="0" w:line="240" w:lineRule="auto"/>
              <w:jc w:val="center"/>
              <w:rPr>
                <w:rFonts w:ascii="Calibri" w:eastAsia="Times New Roman" w:hAnsi="Calibri" w:cs="Calibri"/>
              </w:rPr>
            </w:pPr>
            <w:r>
              <w:rPr>
                <w:rFonts w:ascii="Calibri" w:hAnsi="Calibri" w:cs="Calibri"/>
                <w:color w:val="000000"/>
              </w:rPr>
              <w:t>5</w:t>
            </w:r>
          </w:p>
        </w:tc>
        <w:tc>
          <w:tcPr>
            <w:tcW w:w="2970" w:type="dxa"/>
            <w:tcBorders>
              <w:top w:val="single" w:sz="4" w:space="0" w:color="auto"/>
              <w:left w:val="nil"/>
              <w:bottom w:val="single" w:sz="4" w:space="0" w:color="auto"/>
              <w:right w:val="single" w:sz="4" w:space="0" w:color="auto"/>
            </w:tcBorders>
            <w:shd w:val="clear" w:color="auto" w:fill="auto"/>
            <w:vAlign w:val="center"/>
          </w:tcPr>
          <w:p w14:paraId="440DA7B2" w14:textId="41D6224A" w:rsidR="004336F7" w:rsidRPr="003707A4" w:rsidRDefault="004336F7" w:rsidP="004336F7">
            <w:pPr>
              <w:spacing w:after="0" w:line="240" w:lineRule="auto"/>
              <w:rPr>
                <w:rFonts w:ascii="Calibri" w:eastAsia="Times New Roman" w:hAnsi="Calibri" w:cs="Calibri"/>
              </w:rPr>
            </w:pPr>
            <w:r>
              <w:rPr>
                <w:rFonts w:ascii="Calibri" w:hAnsi="Calibri" w:cs="Calibri"/>
                <w:color w:val="000000"/>
              </w:rPr>
              <w:t>JESD22-A111 and JESD22-B106</w:t>
            </w:r>
          </w:p>
        </w:tc>
        <w:tc>
          <w:tcPr>
            <w:tcW w:w="4151" w:type="dxa"/>
            <w:tcBorders>
              <w:top w:val="single" w:sz="4" w:space="0" w:color="auto"/>
              <w:left w:val="single" w:sz="4" w:space="0" w:color="auto"/>
              <w:bottom w:val="single" w:sz="4" w:space="0" w:color="auto"/>
              <w:right w:val="single" w:sz="4" w:space="0" w:color="auto"/>
            </w:tcBorders>
            <w:shd w:val="clear" w:color="auto" w:fill="auto"/>
            <w:vAlign w:val="center"/>
          </w:tcPr>
          <w:p w14:paraId="5AE74249" w14:textId="263F922F" w:rsidR="004336F7" w:rsidRPr="003707A4" w:rsidRDefault="004336F7" w:rsidP="004336F7">
            <w:pPr>
              <w:spacing w:after="0" w:line="240" w:lineRule="auto"/>
              <w:rPr>
                <w:rFonts w:ascii="Calibri" w:eastAsia="Times New Roman" w:hAnsi="Calibri" w:cs="Calibri"/>
              </w:rPr>
            </w:pPr>
            <w:r>
              <w:rPr>
                <w:rFonts w:ascii="Calibri" w:hAnsi="Calibri" w:cs="Calibri"/>
                <w:color w:val="000000"/>
              </w:rPr>
              <w:t>Pb free: T =270°C ±5°C, Dwell=7s +2/-0</w:t>
            </w:r>
            <w:r>
              <w:rPr>
                <w:rFonts w:ascii="Calibri" w:hAnsi="Calibri" w:cs="Calibri"/>
                <w:color w:val="000000"/>
              </w:rPr>
              <w:br/>
              <w:t>Sn/Pb: T =260°C ±5°C, Dwell=10s +2/-0</w:t>
            </w:r>
            <w:r>
              <w:rPr>
                <w:rFonts w:ascii="Calibri" w:hAnsi="Calibri" w:cs="Calibri"/>
                <w:color w:val="000000"/>
              </w:rPr>
              <w:br/>
              <w:t>Thru-hole devices submerge to case,</w:t>
            </w:r>
            <w:r>
              <w:rPr>
                <w:rFonts w:ascii="Calibri" w:hAnsi="Calibri" w:cs="Calibri"/>
                <w:color w:val="000000"/>
              </w:rPr>
              <w:br/>
              <w:t>SMDs fully submerge</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74E6D690" w14:textId="5BA26912" w:rsidR="004336F7" w:rsidRPr="003707A4" w:rsidRDefault="004336F7" w:rsidP="004336F7">
            <w:pPr>
              <w:spacing w:after="0" w:line="240" w:lineRule="auto"/>
              <w:jc w:val="center"/>
              <w:rPr>
                <w:rFonts w:ascii="Calibri" w:eastAsia="Times New Roman" w:hAnsi="Calibri" w:cs="Calibri"/>
              </w:rPr>
            </w:pPr>
            <w:r w:rsidRPr="00A77BB4">
              <w:rPr>
                <w:rFonts w:ascii="Calibri" w:hAnsi="Calibri" w:cs="Calibri"/>
                <w:color w:val="000000"/>
              </w:rPr>
              <w:t>Pass</w:t>
            </w:r>
          </w:p>
        </w:tc>
      </w:tr>
      <w:tr w:rsidR="004336F7" w:rsidRPr="003707A4" w14:paraId="19C3D3EB" w14:textId="77777777" w:rsidTr="004336F7">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777289C" w14:textId="193726FC" w:rsidR="004336F7" w:rsidRPr="003707A4" w:rsidRDefault="004336F7" w:rsidP="004336F7">
            <w:pPr>
              <w:spacing w:after="0" w:line="240" w:lineRule="auto"/>
              <w:rPr>
                <w:rFonts w:ascii="Calibri" w:eastAsia="Times New Roman" w:hAnsi="Calibri" w:cs="Calibri"/>
                <w:bCs/>
              </w:rPr>
            </w:pPr>
            <w:r>
              <w:rPr>
                <w:rFonts w:ascii="Calibri" w:hAnsi="Calibri" w:cs="Calibri"/>
                <w:color w:val="000000"/>
              </w:rPr>
              <w:t>Solderability</w:t>
            </w:r>
          </w:p>
        </w:tc>
        <w:tc>
          <w:tcPr>
            <w:tcW w:w="889" w:type="dxa"/>
            <w:tcBorders>
              <w:top w:val="single" w:sz="4" w:space="0" w:color="auto"/>
              <w:left w:val="nil"/>
              <w:bottom w:val="single" w:sz="4" w:space="0" w:color="auto"/>
              <w:right w:val="single" w:sz="4" w:space="0" w:color="auto"/>
            </w:tcBorders>
            <w:shd w:val="clear" w:color="auto" w:fill="auto"/>
            <w:vAlign w:val="center"/>
          </w:tcPr>
          <w:p w14:paraId="315DF28B" w14:textId="57DAC3AD" w:rsidR="004336F7" w:rsidRPr="003707A4" w:rsidRDefault="004336F7" w:rsidP="004336F7">
            <w:pPr>
              <w:spacing w:after="0" w:line="240" w:lineRule="auto"/>
              <w:jc w:val="center"/>
              <w:rPr>
                <w:rFonts w:ascii="Calibri" w:eastAsia="Times New Roman" w:hAnsi="Calibri" w:cs="Calibri"/>
              </w:rPr>
            </w:pPr>
            <w:r>
              <w:rPr>
                <w:rFonts w:ascii="Calibri" w:hAnsi="Calibri" w:cs="Calibri"/>
                <w:color w:val="000000"/>
              </w:rPr>
              <w:t>15</w:t>
            </w:r>
          </w:p>
        </w:tc>
        <w:tc>
          <w:tcPr>
            <w:tcW w:w="2970" w:type="dxa"/>
            <w:tcBorders>
              <w:top w:val="single" w:sz="4" w:space="0" w:color="auto"/>
              <w:left w:val="nil"/>
              <w:bottom w:val="single" w:sz="4" w:space="0" w:color="auto"/>
              <w:right w:val="single" w:sz="4" w:space="0" w:color="auto"/>
            </w:tcBorders>
            <w:shd w:val="clear" w:color="auto" w:fill="auto"/>
            <w:vAlign w:val="center"/>
          </w:tcPr>
          <w:p w14:paraId="7C2E7A5C" w14:textId="375A8C92" w:rsidR="004336F7" w:rsidRPr="003707A4" w:rsidRDefault="004336F7" w:rsidP="004336F7">
            <w:pPr>
              <w:spacing w:after="0" w:line="240" w:lineRule="auto"/>
              <w:rPr>
                <w:rFonts w:ascii="Calibri" w:eastAsia="Times New Roman" w:hAnsi="Calibri" w:cs="Calibri"/>
              </w:rPr>
            </w:pPr>
            <w:r>
              <w:rPr>
                <w:rFonts w:ascii="Calibri" w:hAnsi="Calibri" w:cs="Calibri"/>
                <w:color w:val="000000"/>
              </w:rPr>
              <w:t>MIL-STD-750 TM2026</w:t>
            </w:r>
          </w:p>
        </w:tc>
        <w:tc>
          <w:tcPr>
            <w:tcW w:w="4151" w:type="dxa"/>
            <w:tcBorders>
              <w:top w:val="single" w:sz="4" w:space="0" w:color="auto"/>
              <w:left w:val="single" w:sz="4" w:space="0" w:color="auto"/>
              <w:bottom w:val="single" w:sz="4" w:space="0" w:color="auto"/>
              <w:right w:val="single" w:sz="4" w:space="0" w:color="auto"/>
            </w:tcBorders>
            <w:shd w:val="clear" w:color="auto" w:fill="auto"/>
            <w:vAlign w:val="center"/>
          </w:tcPr>
          <w:p w14:paraId="1E1920A6" w14:textId="606C17F6" w:rsidR="004336F7" w:rsidRPr="003707A4" w:rsidRDefault="004336F7" w:rsidP="004336F7">
            <w:pPr>
              <w:spacing w:after="0" w:line="240" w:lineRule="auto"/>
              <w:rPr>
                <w:rFonts w:ascii="Calibri" w:eastAsia="Times New Roman" w:hAnsi="Calibri" w:cs="Calibri"/>
              </w:rPr>
            </w:pPr>
            <w:r>
              <w:rPr>
                <w:rFonts w:ascii="Calibri" w:hAnsi="Calibri" w:cs="Calibri"/>
                <w:color w:val="000000"/>
              </w:rPr>
              <w:t>Steam Age: T=93°C +3/-5°C.</w:t>
            </w:r>
            <w:r>
              <w:rPr>
                <w:rFonts w:ascii="Calibri" w:hAnsi="Calibri" w:cs="Calibri"/>
                <w:color w:val="000000"/>
              </w:rPr>
              <w:br/>
              <w:t>Non Pb-free Dip: T=215°C +/-5°C,</w:t>
            </w:r>
            <w:r>
              <w:rPr>
                <w:rFonts w:ascii="Calibri" w:hAnsi="Calibri" w:cs="Calibri"/>
                <w:color w:val="000000"/>
              </w:rPr>
              <w:br/>
              <w:t>Pb-free Dip: T=245°C +/-5°C,</w:t>
            </w:r>
            <w:r>
              <w:rPr>
                <w:rFonts w:ascii="Calibri" w:hAnsi="Calibri" w:cs="Calibri"/>
                <w:color w:val="000000"/>
              </w:rPr>
              <w:br/>
              <w:t>Dwell time = 5+/-0.5sec</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45063248" w14:textId="6F64A9FA" w:rsidR="004336F7" w:rsidRPr="003707A4" w:rsidRDefault="004336F7" w:rsidP="004336F7">
            <w:pPr>
              <w:spacing w:after="0" w:line="240" w:lineRule="auto"/>
              <w:jc w:val="center"/>
              <w:rPr>
                <w:rFonts w:ascii="Calibri" w:eastAsia="Times New Roman" w:hAnsi="Calibri" w:cs="Calibri"/>
              </w:rPr>
            </w:pPr>
            <w:r w:rsidRPr="00A77BB4">
              <w:rPr>
                <w:rFonts w:ascii="Calibri" w:hAnsi="Calibri" w:cs="Calibri"/>
                <w:color w:val="000000"/>
              </w:rPr>
              <w:t>Pass</w:t>
            </w:r>
          </w:p>
        </w:tc>
      </w:tr>
      <w:tr w:rsidR="004336F7" w:rsidRPr="003707A4" w14:paraId="7C33A259" w14:textId="77777777" w:rsidTr="004336F7">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8A59718" w14:textId="26246B48" w:rsidR="004336F7" w:rsidRPr="003707A4" w:rsidRDefault="004336F7" w:rsidP="004336F7">
            <w:pPr>
              <w:spacing w:after="0" w:line="240" w:lineRule="auto"/>
              <w:rPr>
                <w:rFonts w:ascii="Calibri" w:eastAsia="Times New Roman" w:hAnsi="Calibri" w:cs="Calibri"/>
                <w:bCs/>
              </w:rPr>
            </w:pPr>
            <w:r>
              <w:rPr>
                <w:rFonts w:ascii="Calibri" w:hAnsi="Calibri" w:cs="Calibri"/>
                <w:color w:val="000000"/>
              </w:rPr>
              <w:t>Bake</w:t>
            </w:r>
          </w:p>
        </w:tc>
        <w:tc>
          <w:tcPr>
            <w:tcW w:w="889" w:type="dxa"/>
            <w:tcBorders>
              <w:top w:val="single" w:sz="4" w:space="0" w:color="auto"/>
              <w:left w:val="nil"/>
              <w:bottom w:val="single" w:sz="4" w:space="0" w:color="auto"/>
              <w:right w:val="single" w:sz="4" w:space="0" w:color="auto"/>
            </w:tcBorders>
            <w:shd w:val="clear" w:color="auto" w:fill="auto"/>
            <w:vAlign w:val="center"/>
          </w:tcPr>
          <w:p w14:paraId="53A23A73" w14:textId="1F3086B5" w:rsidR="004336F7" w:rsidRPr="003707A4" w:rsidRDefault="004336F7" w:rsidP="004336F7">
            <w:pPr>
              <w:spacing w:after="0" w:line="240" w:lineRule="auto"/>
              <w:jc w:val="center"/>
              <w:rPr>
                <w:rFonts w:ascii="Calibri" w:eastAsia="Times New Roman" w:hAnsi="Calibri" w:cs="Calibri"/>
              </w:rPr>
            </w:pPr>
            <w:r>
              <w:rPr>
                <w:rFonts w:ascii="Calibri" w:hAnsi="Calibri" w:cs="Calibri"/>
                <w:color w:val="000000"/>
              </w:rPr>
              <w:t>77</w:t>
            </w:r>
          </w:p>
        </w:tc>
        <w:tc>
          <w:tcPr>
            <w:tcW w:w="2970" w:type="dxa"/>
            <w:tcBorders>
              <w:top w:val="single" w:sz="4" w:space="0" w:color="auto"/>
              <w:left w:val="nil"/>
              <w:bottom w:val="single" w:sz="4" w:space="0" w:color="auto"/>
              <w:right w:val="single" w:sz="4" w:space="0" w:color="auto"/>
            </w:tcBorders>
            <w:shd w:val="clear" w:color="auto" w:fill="auto"/>
            <w:vAlign w:val="center"/>
          </w:tcPr>
          <w:p w14:paraId="11A9399A" w14:textId="2F955BB0" w:rsidR="004336F7" w:rsidRPr="003707A4" w:rsidRDefault="004336F7" w:rsidP="004336F7">
            <w:pPr>
              <w:spacing w:after="0" w:line="240" w:lineRule="auto"/>
              <w:rPr>
                <w:rFonts w:ascii="Calibri" w:eastAsia="Times New Roman" w:hAnsi="Calibri" w:cs="Calibri"/>
              </w:rPr>
            </w:pPr>
            <w:r>
              <w:rPr>
                <w:rFonts w:ascii="Calibri" w:hAnsi="Calibri" w:cs="Calibri"/>
                <w:color w:val="000000"/>
              </w:rPr>
              <w:t>JESD22-A103</w:t>
            </w:r>
          </w:p>
        </w:tc>
        <w:tc>
          <w:tcPr>
            <w:tcW w:w="4151" w:type="dxa"/>
            <w:tcBorders>
              <w:top w:val="single" w:sz="4" w:space="0" w:color="auto"/>
              <w:left w:val="single" w:sz="4" w:space="0" w:color="auto"/>
              <w:bottom w:val="single" w:sz="4" w:space="0" w:color="auto"/>
              <w:right w:val="single" w:sz="4" w:space="0" w:color="auto"/>
            </w:tcBorders>
            <w:shd w:val="clear" w:color="auto" w:fill="auto"/>
            <w:vAlign w:val="center"/>
          </w:tcPr>
          <w:p w14:paraId="24138B09" w14:textId="4EE99C42" w:rsidR="004336F7" w:rsidRPr="003707A4" w:rsidRDefault="004336F7" w:rsidP="004336F7">
            <w:pPr>
              <w:spacing w:after="0" w:line="240" w:lineRule="auto"/>
              <w:rPr>
                <w:rFonts w:ascii="Calibri" w:eastAsia="Times New Roman" w:hAnsi="Calibri" w:cs="Calibri"/>
              </w:rPr>
            </w:pPr>
            <w:r>
              <w:rPr>
                <w:rFonts w:ascii="Calibri" w:hAnsi="Calibri" w:cs="Calibri"/>
                <w:color w:val="000000"/>
              </w:rPr>
              <w:t>150°C (-0/+10)°C or specified temperature. 1000 hours</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1CC993B1" w14:textId="562B82DD" w:rsidR="004336F7" w:rsidRPr="003707A4" w:rsidRDefault="004336F7" w:rsidP="004336F7">
            <w:pPr>
              <w:spacing w:after="0" w:line="240" w:lineRule="auto"/>
              <w:jc w:val="center"/>
              <w:rPr>
                <w:rFonts w:ascii="Calibri" w:eastAsia="Times New Roman" w:hAnsi="Calibri" w:cs="Calibri"/>
              </w:rPr>
            </w:pPr>
            <w:r w:rsidRPr="00A77BB4">
              <w:rPr>
                <w:rFonts w:ascii="Calibri" w:hAnsi="Calibri" w:cs="Calibri"/>
                <w:color w:val="000000"/>
              </w:rPr>
              <w:t>Pass</w:t>
            </w:r>
          </w:p>
        </w:tc>
      </w:tr>
      <w:tr w:rsidR="004336F7" w:rsidRPr="003707A4" w14:paraId="7A37064A" w14:textId="77777777" w:rsidTr="004336F7">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3E8213F" w14:textId="3F934AC4" w:rsidR="004336F7" w:rsidRPr="003707A4" w:rsidRDefault="004336F7" w:rsidP="004336F7">
            <w:pPr>
              <w:spacing w:after="0" w:line="240" w:lineRule="auto"/>
              <w:rPr>
                <w:rFonts w:ascii="Calibri" w:eastAsia="Times New Roman" w:hAnsi="Calibri" w:cs="Calibri"/>
                <w:bCs/>
              </w:rPr>
            </w:pPr>
            <w:r>
              <w:rPr>
                <w:rFonts w:ascii="Calibri" w:hAnsi="Calibri" w:cs="Calibri"/>
                <w:color w:val="000000"/>
              </w:rPr>
              <w:t>HTRB</w:t>
            </w:r>
          </w:p>
        </w:tc>
        <w:tc>
          <w:tcPr>
            <w:tcW w:w="889" w:type="dxa"/>
            <w:tcBorders>
              <w:top w:val="single" w:sz="4" w:space="0" w:color="auto"/>
              <w:left w:val="nil"/>
              <w:bottom w:val="single" w:sz="4" w:space="0" w:color="auto"/>
              <w:right w:val="single" w:sz="4" w:space="0" w:color="auto"/>
            </w:tcBorders>
            <w:shd w:val="clear" w:color="auto" w:fill="auto"/>
            <w:vAlign w:val="center"/>
          </w:tcPr>
          <w:p w14:paraId="5B5063E6" w14:textId="1B1412D4" w:rsidR="004336F7" w:rsidRPr="003707A4" w:rsidRDefault="004336F7" w:rsidP="004336F7">
            <w:pPr>
              <w:spacing w:after="0" w:line="240" w:lineRule="auto"/>
              <w:jc w:val="center"/>
              <w:rPr>
                <w:rFonts w:ascii="Calibri" w:eastAsia="Times New Roman" w:hAnsi="Calibri" w:cs="Calibri"/>
              </w:rPr>
            </w:pPr>
            <w:r>
              <w:rPr>
                <w:rFonts w:ascii="Calibri" w:hAnsi="Calibri" w:cs="Calibri"/>
                <w:color w:val="000000"/>
              </w:rPr>
              <w:t>77</w:t>
            </w:r>
          </w:p>
        </w:tc>
        <w:tc>
          <w:tcPr>
            <w:tcW w:w="2970" w:type="dxa"/>
            <w:tcBorders>
              <w:top w:val="single" w:sz="4" w:space="0" w:color="auto"/>
              <w:left w:val="nil"/>
              <w:bottom w:val="single" w:sz="4" w:space="0" w:color="auto"/>
              <w:right w:val="single" w:sz="4" w:space="0" w:color="auto"/>
            </w:tcBorders>
            <w:shd w:val="clear" w:color="auto" w:fill="auto"/>
            <w:vAlign w:val="center"/>
          </w:tcPr>
          <w:p w14:paraId="36154B9E" w14:textId="16A1E7C2" w:rsidR="004336F7" w:rsidRPr="003707A4" w:rsidRDefault="004336F7" w:rsidP="004336F7">
            <w:pPr>
              <w:spacing w:after="0" w:line="240" w:lineRule="auto"/>
              <w:rPr>
                <w:rFonts w:ascii="Calibri" w:eastAsia="Times New Roman" w:hAnsi="Calibri" w:cs="Calibri"/>
              </w:rPr>
            </w:pPr>
            <w:r>
              <w:rPr>
                <w:rFonts w:ascii="Calibri" w:hAnsi="Calibri" w:cs="Calibri"/>
                <w:color w:val="000000"/>
              </w:rPr>
              <w:t>JESD22-A108</w:t>
            </w:r>
          </w:p>
        </w:tc>
        <w:tc>
          <w:tcPr>
            <w:tcW w:w="4151" w:type="dxa"/>
            <w:tcBorders>
              <w:top w:val="single" w:sz="4" w:space="0" w:color="auto"/>
              <w:left w:val="single" w:sz="4" w:space="0" w:color="auto"/>
              <w:bottom w:val="single" w:sz="4" w:space="0" w:color="auto"/>
              <w:right w:val="single" w:sz="4" w:space="0" w:color="auto"/>
            </w:tcBorders>
            <w:shd w:val="clear" w:color="auto" w:fill="auto"/>
            <w:vAlign w:val="center"/>
          </w:tcPr>
          <w:p w14:paraId="6A02B6CD" w14:textId="53CC40B9" w:rsidR="004336F7" w:rsidRPr="003707A4" w:rsidRDefault="004336F7" w:rsidP="004336F7">
            <w:pPr>
              <w:spacing w:after="0" w:line="240" w:lineRule="auto"/>
              <w:rPr>
                <w:rFonts w:ascii="Calibri" w:eastAsia="Times New Roman" w:hAnsi="Calibri" w:cs="Calibri"/>
              </w:rPr>
            </w:pPr>
            <w:r>
              <w:rPr>
                <w:rFonts w:ascii="Calibri" w:hAnsi="Calibri" w:cs="Calibri"/>
                <w:color w:val="000000"/>
              </w:rPr>
              <w:t>T=125°C, t = 1000 hours</w:t>
            </w:r>
            <w:r>
              <w:rPr>
                <w:rFonts w:ascii="Calibri" w:hAnsi="Calibri" w:cs="Calibri"/>
                <w:color w:val="000000"/>
              </w:rPr>
              <w:br/>
              <w:t>Bias conditions per device datasheet.</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052BBE7A" w14:textId="1430565C" w:rsidR="004336F7" w:rsidRPr="003707A4" w:rsidRDefault="004336F7" w:rsidP="004336F7">
            <w:pPr>
              <w:spacing w:after="0" w:line="240" w:lineRule="auto"/>
              <w:jc w:val="center"/>
              <w:rPr>
                <w:rFonts w:ascii="Calibri" w:eastAsia="Times New Roman" w:hAnsi="Calibri" w:cs="Calibri"/>
              </w:rPr>
            </w:pPr>
            <w:r w:rsidRPr="00A77BB4">
              <w:rPr>
                <w:rFonts w:ascii="Calibri" w:hAnsi="Calibri" w:cs="Calibri"/>
                <w:color w:val="000000"/>
              </w:rPr>
              <w:t>Pass</w:t>
            </w:r>
          </w:p>
        </w:tc>
      </w:tr>
      <w:tr w:rsidR="004336F7" w:rsidRPr="003707A4" w14:paraId="31C2AD2D" w14:textId="77777777" w:rsidTr="004336F7">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2BF93906" w14:textId="6B12822B" w:rsidR="004336F7" w:rsidRPr="003707A4" w:rsidRDefault="004336F7" w:rsidP="004336F7">
            <w:pPr>
              <w:spacing w:after="0" w:line="240" w:lineRule="auto"/>
              <w:rPr>
                <w:rFonts w:ascii="Calibri" w:eastAsia="Times New Roman" w:hAnsi="Calibri" w:cs="Calibri"/>
                <w:bCs/>
              </w:rPr>
            </w:pPr>
            <w:r>
              <w:rPr>
                <w:rFonts w:ascii="Calibri" w:hAnsi="Calibri" w:cs="Calibri"/>
                <w:color w:val="000000"/>
              </w:rPr>
              <w:t>UHAST</w:t>
            </w:r>
          </w:p>
        </w:tc>
        <w:tc>
          <w:tcPr>
            <w:tcW w:w="889" w:type="dxa"/>
            <w:tcBorders>
              <w:top w:val="single" w:sz="4" w:space="0" w:color="auto"/>
              <w:left w:val="nil"/>
              <w:bottom w:val="single" w:sz="4" w:space="0" w:color="auto"/>
              <w:right w:val="single" w:sz="4" w:space="0" w:color="auto"/>
            </w:tcBorders>
            <w:shd w:val="clear" w:color="auto" w:fill="auto"/>
            <w:vAlign w:val="center"/>
          </w:tcPr>
          <w:p w14:paraId="130D63A3" w14:textId="0C81DB0B" w:rsidR="004336F7" w:rsidRPr="003707A4" w:rsidRDefault="004336F7" w:rsidP="004336F7">
            <w:pPr>
              <w:spacing w:after="0" w:line="240" w:lineRule="auto"/>
              <w:jc w:val="center"/>
              <w:rPr>
                <w:rFonts w:ascii="Calibri" w:eastAsia="Times New Roman" w:hAnsi="Calibri" w:cs="Calibri"/>
              </w:rPr>
            </w:pPr>
            <w:r>
              <w:rPr>
                <w:rFonts w:ascii="Calibri" w:hAnsi="Calibri" w:cs="Calibri"/>
                <w:color w:val="000000"/>
              </w:rPr>
              <w:t>77</w:t>
            </w:r>
          </w:p>
        </w:tc>
        <w:tc>
          <w:tcPr>
            <w:tcW w:w="2970" w:type="dxa"/>
            <w:tcBorders>
              <w:top w:val="single" w:sz="4" w:space="0" w:color="auto"/>
              <w:left w:val="nil"/>
              <w:bottom w:val="single" w:sz="4" w:space="0" w:color="auto"/>
              <w:right w:val="single" w:sz="4" w:space="0" w:color="auto"/>
            </w:tcBorders>
            <w:shd w:val="clear" w:color="auto" w:fill="auto"/>
            <w:vAlign w:val="center"/>
          </w:tcPr>
          <w:p w14:paraId="03B4307F" w14:textId="2540A65D" w:rsidR="004336F7" w:rsidRPr="003707A4" w:rsidRDefault="004336F7" w:rsidP="004336F7">
            <w:pPr>
              <w:spacing w:after="0" w:line="240" w:lineRule="auto"/>
              <w:rPr>
                <w:rFonts w:ascii="Calibri" w:eastAsia="Times New Roman" w:hAnsi="Calibri" w:cs="Calibri"/>
              </w:rPr>
            </w:pPr>
            <w:r>
              <w:rPr>
                <w:rFonts w:ascii="Calibri" w:hAnsi="Calibri" w:cs="Calibri"/>
                <w:color w:val="000000"/>
              </w:rPr>
              <w:t>JESD22-A110</w:t>
            </w:r>
          </w:p>
        </w:tc>
        <w:tc>
          <w:tcPr>
            <w:tcW w:w="4151" w:type="dxa"/>
            <w:tcBorders>
              <w:top w:val="single" w:sz="4" w:space="0" w:color="auto"/>
              <w:left w:val="single" w:sz="4" w:space="0" w:color="auto"/>
              <w:bottom w:val="single" w:sz="4" w:space="0" w:color="auto"/>
              <w:right w:val="single" w:sz="4" w:space="0" w:color="auto"/>
            </w:tcBorders>
            <w:shd w:val="clear" w:color="auto" w:fill="auto"/>
            <w:vAlign w:val="center"/>
          </w:tcPr>
          <w:p w14:paraId="32B5282B" w14:textId="417C2D01" w:rsidR="004336F7" w:rsidRPr="003707A4" w:rsidRDefault="004336F7" w:rsidP="004336F7">
            <w:pPr>
              <w:spacing w:after="0" w:line="240" w:lineRule="auto"/>
              <w:rPr>
                <w:rFonts w:ascii="Calibri" w:eastAsia="Times New Roman" w:hAnsi="Calibri" w:cs="Calibri"/>
              </w:rPr>
            </w:pPr>
            <w:r>
              <w:rPr>
                <w:rFonts w:ascii="Calibri" w:hAnsi="Calibri" w:cs="Calibri"/>
                <w:color w:val="000000"/>
              </w:rPr>
              <w:t>T = 130°C, RH = 85%, t = 96 hrs or</w:t>
            </w:r>
            <w:r>
              <w:rPr>
                <w:rFonts w:ascii="Calibri" w:hAnsi="Calibri" w:cs="Calibri"/>
                <w:color w:val="000000"/>
              </w:rPr>
              <w:br/>
              <w:t>T = 110°C, RH = 85%, t = 264 hrs</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6AD2BDA7" w14:textId="152C40CA" w:rsidR="004336F7" w:rsidRPr="003707A4" w:rsidRDefault="004336F7" w:rsidP="004336F7">
            <w:pPr>
              <w:spacing w:after="0" w:line="240" w:lineRule="auto"/>
              <w:jc w:val="center"/>
              <w:rPr>
                <w:rFonts w:ascii="Calibri" w:eastAsia="Times New Roman" w:hAnsi="Calibri" w:cs="Calibri"/>
              </w:rPr>
            </w:pPr>
            <w:r w:rsidRPr="00A77BB4">
              <w:rPr>
                <w:rFonts w:ascii="Calibri" w:hAnsi="Calibri" w:cs="Calibri"/>
                <w:color w:val="000000"/>
              </w:rPr>
              <w:t>Pass</w:t>
            </w:r>
          </w:p>
        </w:tc>
      </w:tr>
      <w:tr w:rsidR="004336F7" w:rsidRPr="003707A4" w14:paraId="4311A272" w14:textId="77777777" w:rsidTr="004336F7">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47A546B" w14:textId="20FDC89F" w:rsidR="004336F7" w:rsidRPr="003707A4" w:rsidRDefault="004336F7" w:rsidP="004336F7">
            <w:pPr>
              <w:spacing w:after="0" w:line="240" w:lineRule="auto"/>
              <w:rPr>
                <w:rFonts w:ascii="Calibri" w:eastAsia="Times New Roman" w:hAnsi="Calibri" w:cs="Calibri"/>
                <w:bCs/>
              </w:rPr>
            </w:pPr>
            <w:r>
              <w:rPr>
                <w:rFonts w:ascii="Calibri" w:hAnsi="Calibri" w:cs="Calibri"/>
                <w:color w:val="000000"/>
              </w:rPr>
              <w:t>Temp Cycle</w:t>
            </w:r>
          </w:p>
        </w:tc>
        <w:tc>
          <w:tcPr>
            <w:tcW w:w="889" w:type="dxa"/>
            <w:tcBorders>
              <w:top w:val="single" w:sz="4" w:space="0" w:color="auto"/>
              <w:left w:val="nil"/>
              <w:bottom w:val="single" w:sz="4" w:space="0" w:color="auto"/>
              <w:right w:val="single" w:sz="4" w:space="0" w:color="auto"/>
            </w:tcBorders>
            <w:shd w:val="clear" w:color="auto" w:fill="auto"/>
            <w:vAlign w:val="center"/>
          </w:tcPr>
          <w:p w14:paraId="340541C6" w14:textId="64231138" w:rsidR="004336F7" w:rsidRPr="003707A4" w:rsidRDefault="004336F7" w:rsidP="004336F7">
            <w:pPr>
              <w:spacing w:after="0" w:line="240" w:lineRule="auto"/>
              <w:jc w:val="center"/>
              <w:rPr>
                <w:rFonts w:ascii="Calibri" w:eastAsia="Times New Roman" w:hAnsi="Calibri" w:cs="Calibri"/>
              </w:rPr>
            </w:pPr>
            <w:r>
              <w:rPr>
                <w:rFonts w:ascii="Calibri" w:hAnsi="Calibri" w:cs="Calibri"/>
                <w:color w:val="000000"/>
              </w:rPr>
              <w:t>77</w:t>
            </w:r>
          </w:p>
        </w:tc>
        <w:tc>
          <w:tcPr>
            <w:tcW w:w="2970" w:type="dxa"/>
            <w:tcBorders>
              <w:top w:val="single" w:sz="4" w:space="0" w:color="auto"/>
              <w:left w:val="nil"/>
              <w:bottom w:val="single" w:sz="4" w:space="0" w:color="auto"/>
              <w:right w:val="single" w:sz="4" w:space="0" w:color="auto"/>
            </w:tcBorders>
            <w:shd w:val="clear" w:color="auto" w:fill="auto"/>
            <w:vAlign w:val="center"/>
          </w:tcPr>
          <w:p w14:paraId="48B9058C" w14:textId="4FA986FB" w:rsidR="004336F7" w:rsidRPr="003707A4" w:rsidRDefault="004336F7" w:rsidP="004336F7">
            <w:pPr>
              <w:spacing w:after="0" w:line="240" w:lineRule="auto"/>
              <w:rPr>
                <w:rFonts w:ascii="Calibri" w:eastAsia="Times New Roman" w:hAnsi="Calibri" w:cs="Calibri"/>
              </w:rPr>
            </w:pPr>
            <w:r>
              <w:rPr>
                <w:rFonts w:ascii="Calibri" w:hAnsi="Calibri" w:cs="Calibri"/>
                <w:color w:val="000000"/>
              </w:rPr>
              <w:t>JESD22-A104 &amp; MIL-STD-750 TM1051.</w:t>
            </w:r>
          </w:p>
        </w:tc>
        <w:tc>
          <w:tcPr>
            <w:tcW w:w="4151" w:type="dxa"/>
            <w:tcBorders>
              <w:top w:val="single" w:sz="4" w:space="0" w:color="auto"/>
              <w:left w:val="single" w:sz="4" w:space="0" w:color="auto"/>
              <w:bottom w:val="single" w:sz="4" w:space="0" w:color="auto"/>
              <w:right w:val="single" w:sz="4" w:space="0" w:color="auto"/>
            </w:tcBorders>
            <w:shd w:val="clear" w:color="auto" w:fill="auto"/>
            <w:vAlign w:val="center"/>
          </w:tcPr>
          <w:p w14:paraId="7D16A3AC" w14:textId="2900DE40" w:rsidR="004336F7" w:rsidRPr="003707A4" w:rsidRDefault="004336F7" w:rsidP="004336F7">
            <w:pPr>
              <w:spacing w:after="0" w:line="240" w:lineRule="auto"/>
              <w:rPr>
                <w:rFonts w:ascii="Calibri" w:eastAsia="Times New Roman" w:hAnsi="Calibri" w:cs="Calibri"/>
              </w:rPr>
            </w:pPr>
            <w:r>
              <w:rPr>
                <w:rFonts w:ascii="Calibri" w:hAnsi="Calibri" w:cs="Calibri"/>
                <w:color w:val="000000"/>
              </w:rPr>
              <w:t>1000 cycles. Dwell time = 15 min</w:t>
            </w:r>
            <w:r>
              <w:rPr>
                <w:rFonts w:ascii="Calibri" w:hAnsi="Calibri" w:cs="Calibri"/>
                <w:color w:val="000000"/>
              </w:rPr>
              <w:br/>
              <w:t>Ta = -65°C  to +150°C</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6891F930" w14:textId="6916195F" w:rsidR="004336F7" w:rsidRPr="003707A4" w:rsidRDefault="004336F7" w:rsidP="004336F7">
            <w:pPr>
              <w:spacing w:after="0" w:line="240" w:lineRule="auto"/>
              <w:jc w:val="center"/>
              <w:rPr>
                <w:rFonts w:ascii="Calibri" w:eastAsia="Times New Roman" w:hAnsi="Calibri" w:cs="Calibri"/>
              </w:rPr>
            </w:pPr>
            <w:r w:rsidRPr="00A77BB4">
              <w:rPr>
                <w:rFonts w:ascii="Calibri" w:hAnsi="Calibri" w:cs="Calibri"/>
                <w:color w:val="000000"/>
              </w:rPr>
              <w:t>Pass</w:t>
            </w:r>
          </w:p>
        </w:tc>
      </w:tr>
      <w:tr w:rsidR="004336F7" w:rsidRPr="003707A4" w14:paraId="669B859C" w14:textId="77777777" w:rsidTr="004336F7">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691BA7F" w14:textId="59C011E3" w:rsidR="004336F7" w:rsidRPr="003707A4" w:rsidRDefault="004336F7" w:rsidP="004336F7">
            <w:pPr>
              <w:spacing w:after="0" w:line="240" w:lineRule="auto"/>
              <w:rPr>
                <w:rFonts w:ascii="Calibri" w:eastAsia="Times New Roman" w:hAnsi="Calibri" w:cs="Calibri"/>
                <w:bCs/>
              </w:rPr>
            </w:pPr>
            <w:r>
              <w:rPr>
                <w:rFonts w:ascii="Calibri" w:hAnsi="Calibri" w:cs="Calibri"/>
                <w:color w:val="000000"/>
              </w:rPr>
              <w:t>Thermal Shock</w:t>
            </w:r>
          </w:p>
        </w:tc>
        <w:tc>
          <w:tcPr>
            <w:tcW w:w="889" w:type="dxa"/>
            <w:tcBorders>
              <w:top w:val="single" w:sz="4" w:space="0" w:color="auto"/>
              <w:left w:val="nil"/>
              <w:bottom w:val="single" w:sz="4" w:space="0" w:color="auto"/>
              <w:right w:val="single" w:sz="4" w:space="0" w:color="auto"/>
            </w:tcBorders>
            <w:shd w:val="clear" w:color="auto" w:fill="auto"/>
            <w:vAlign w:val="center"/>
          </w:tcPr>
          <w:p w14:paraId="6FAC4DC2" w14:textId="64817497" w:rsidR="004336F7" w:rsidRPr="003707A4" w:rsidRDefault="004336F7" w:rsidP="004336F7">
            <w:pPr>
              <w:spacing w:after="0" w:line="240" w:lineRule="auto"/>
              <w:jc w:val="center"/>
              <w:rPr>
                <w:rFonts w:ascii="Calibri" w:eastAsia="Times New Roman" w:hAnsi="Calibri" w:cs="Calibri"/>
              </w:rPr>
            </w:pPr>
            <w:r>
              <w:rPr>
                <w:rFonts w:ascii="Calibri" w:hAnsi="Calibri" w:cs="Calibri"/>
                <w:color w:val="000000"/>
              </w:rPr>
              <w:t>77</w:t>
            </w:r>
          </w:p>
        </w:tc>
        <w:tc>
          <w:tcPr>
            <w:tcW w:w="2970" w:type="dxa"/>
            <w:tcBorders>
              <w:top w:val="single" w:sz="4" w:space="0" w:color="auto"/>
              <w:left w:val="nil"/>
              <w:bottom w:val="single" w:sz="4" w:space="0" w:color="auto"/>
              <w:right w:val="single" w:sz="4" w:space="0" w:color="auto"/>
            </w:tcBorders>
            <w:shd w:val="clear" w:color="auto" w:fill="auto"/>
            <w:vAlign w:val="center"/>
          </w:tcPr>
          <w:p w14:paraId="40301173" w14:textId="47517797" w:rsidR="004336F7" w:rsidRPr="003707A4" w:rsidRDefault="004336F7" w:rsidP="004336F7">
            <w:pPr>
              <w:spacing w:after="0" w:line="240" w:lineRule="auto"/>
              <w:rPr>
                <w:rFonts w:ascii="Calibri" w:eastAsia="Times New Roman" w:hAnsi="Calibri" w:cs="Calibri"/>
              </w:rPr>
            </w:pPr>
            <w:r>
              <w:rPr>
                <w:rFonts w:ascii="Calibri" w:hAnsi="Calibri" w:cs="Calibri"/>
                <w:color w:val="000000"/>
              </w:rPr>
              <w:t>JESD22-A106</w:t>
            </w:r>
          </w:p>
        </w:tc>
        <w:tc>
          <w:tcPr>
            <w:tcW w:w="4151" w:type="dxa"/>
            <w:tcBorders>
              <w:top w:val="single" w:sz="4" w:space="0" w:color="auto"/>
              <w:left w:val="single" w:sz="4" w:space="0" w:color="auto"/>
              <w:bottom w:val="single" w:sz="4" w:space="0" w:color="auto"/>
              <w:right w:val="single" w:sz="4" w:space="0" w:color="auto"/>
            </w:tcBorders>
            <w:shd w:val="clear" w:color="auto" w:fill="auto"/>
            <w:vAlign w:val="center"/>
          </w:tcPr>
          <w:p w14:paraId="0F1A39EE" w14:textId="26EFCB3C" w:rsidR="004336F7" w:rsidRPr="003707A4" w:rsidRDefault="004336F7" w:rsidP="004336F7">
            <w:pPr>
              <w:spacing w:after="0" w:line="240" w:lineRule="auto"/>
              <w:rPr>
                <w:rFonts w:ascii="Calibri" w:eastAsia="Times New Roman" w:hAnsi="Calibri" w:cs="Calibri"/>
              </w:rPr>
            </w:pPr>
            <w:r>
              <w:rPr>
                <w:rFonts w:ascii="Calibri" w:hAnsi="Calibri" w:cs="Calibri"/>
                <w:color w:val="000000"/>
              </w:rPr>
              <w:t>100 cycles, dwell time = 5 min, -65°C to +150°C, max transfer time = 20 sec.</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7C2D0812" w14:textId="7659A6F4" w:rsidR="004336F7" w:rsidRPr="003707A4" w:rsidRDefault="004336F7" w:rsidP="004336F7">
            <w:pPr>
              <w:spacing w:after="0" w:line="240" w:lineRule="auto"/>
              <w:jc w:val="center"/>
              <w:rPr>
                <w:rFonts w:ascii="Calibri" w:eastAsia="Times New Roman" w:hAnsi="Calibri" w:cs="Calibri"/>
              </w:rPr>
            </w:pPr>
            <w:r w:rsidRPr="00A77BB4">
              <w:rPr>
                <w:rFonts w:ascii="Calibri" w:hAnsi="Calibri" w:cs="Calibri"/>
                <w:color w:val="000000"/>
              </w:rPr>
              <w:t>Pass</w:t>
            </w:r>
          </w:p>
        </w:tc>
      </w:tr>
      <w:tr w:rsidR="004336F7" w:rsidRPr="003707A4" w14:paraId="0D46860B" w14:textId="77777777" w:rsidTr="004336F7">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761A13D" w14:textId="182FD767" w:rsidR="004336F7" w:rsidRPr="003707A4" w:rsidRDefault="004336F7" w:rsidP="004336F7">
            <w:pPr>
              <w:spacing w:after="0" w:line="240" w:lineRule="auto"/>
              <w:rPr>
                <w:rFonts w:ascii="Calibri" w:eastAsia="Times New Roman" w:hAnsi="Calibri" w:cs="Calibri"/>
                <w:bCs/>
              </w:rPr>
            </w:pPr>
            <w:r>
              <w:rPr>
                <w:rFonts w:ascii="Calibri" w:hAnsi="Calibri" w:cs="Calibri"/>
                <w:color w:val="000000"/>
              </w:rPr>
              <w:t>THB</w:t>
            </w:r>
          </w:p>
        </w:tc>
        <w:tc>
          <w:tcPr>
            <w:tcW w:w="889" w:type="dxa"/>
            <w:tcBorders>
              <w:top w:val="single" w:sz="4" w:space="0" w:color="auto"/>
              <w:left w:val="nil"/>
              <w:bottom w:val="single" w:sz="4" w:space="0" w:color="auto"/>
              <w:right w:val="single" w:sz="4" w:space="0" w:color="auto"/>
            </w:tcBorders>
            <w:shd w:val="clear" w:color="auto" w:fill="auto"/>
            <w:vAlign w:val="center"/>
          </w:tcPr>
          <w:p w14:paraId="77738CC1" w14:textId="5DB7DE15" w:rsidR="004336F7" w:rsidRPr="003707A4" w:rsidRDefault="004336F7" w:rsidP="004336F7">
            <w:pPr>
              <w:spacing w:after="0" w:line="240" w:lineRule="auto"/>
              <w:jc w:val="center"/>
              <w:rPr>
                <w:rFonts w:ascii="Calibri" w:eastAsia="Times New Roman" w:hAnsi="Calibri" w:cs="Calibri"/>
              </w:rPr>
            </w:pPr>
            <w:r>
              <w:rPr>
                <w:rFonts w:ascii="Calibri" w:hAnsi="Calibri" w:cs="Calibri"/>
                <w:color w:val="000000"/>
              </w:rPr>
              <w:t>77</w:t>
            </w:r>
          </w:p>
        </w:tc>
        <w:tc>
          <w:tcPr>
            <w:tcW w:w="2970" w:type="dxa"/>
            <w:tcBorders>
              <w:top w:val="single" w:sz="4" w:space="0" w:color="auto"/>
              <w:left w:val="nil"/>
              <w:bottom w:val="single" w:sz="4" w:space="0" w:color="auto"/>
              <w:right w:val="single" w:sz="4" w:space="0" w:color="auto"/>
            </w:tcBorders>
            <w:shd w:val="clear" w:color="auto" w:fill="auto"/>
            <w:vAlign w:val="center"/>
          </w:tcPr>
          <w:p w14:paraId="26EBC206" w14:textId="45D240DA" w:rsidR="004336F7" w:rsidRPr="003707A4" w:rsidRDefault="004336F7" w:rsidP="004336F7">
            <w:pPr>
              <w:spacing w:after="0" w:line="240" w:lineRule="auto"/>
              <w:rPr>
                <w:rFonts w:ascii="Calibri" w:eastAsia="Times New Roman" w:hAnsi="Calibri" w:cs="Calibri"/>
              </w:rPr>
            </w:pPr>
            <w:r>
              <w:rPr>
                <w:rFonts w:ascii="Calibri" w:hAnsi="Calibri" w:cs="Calibri"/>
                <w:color w:val="000000"/>
              </w:rPr>
              <w:t>JESD22-A101</w:t>
            </w:r>
          </w:p>
        </w:tc>
        <w:tc>
          <w:tcPr>
            <w:tcW w:w="4151" w:type="dxa"/>
            <w:tcBorders>
              <w:top w:val="single" w:sz="4" w:space="0" w:color="auto"/>
              <w:left w:val="single" w:sz="4" w:space="0" w:color="auto"/>
              <w:bottom w:val="single" w:sz="4" w:space="0" w:color="auto"/>
              <w:right w:val="single" w:sz="4" w:space="0" w:color="auto"/>
            </w:tcBorders>
            <w:shd w:val="clear" w:color="auto" w:fill="auto"/>
            <w:vAlign w:val="center"/>
          </w:tcPr>
          <w:p w14:paraId="3D7F2809" w14:textId="0878B2A2" w:rsidR="004336F7" w:rsidRPr="003707A4" w:rsidRDefault="004336F7" w:rsidP="004336F7">
            <w:pPr>
              <w:spacing w:after="0" w:line="240" w:lineRule="auto"/>
              <w:rPr>
                <w:rFonts w:ascii="Calibri" w:eastAsia="Times New Roman" w:hAnsi="Calibri" w:cs="Calibri"/>
              </w:rPr>
            </w:pPr>
            <w:r>
              <w:rPr>
                <w:rFonts w:ascii="Calibri" w:hAnsi="Calibri" w:cs="Calibri"/>
                <w:color w:val="000000"/>
              </w:rPr>
              <w:t>T = 85°C, RH = 85%, t = 1000 hrs</w:t>
            </w:r>
            <w:r>
              <w:rPr>
                <w:rFonts w:ascii="Calibri" w:hAnsi="Calibri" w:cs="Calibri"/>
                <w:color w:val="000000"/>
              </w:rPr>
              <w:br/>
              <w:t>Bias conditions per device datasheet.</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522FC287" w14:textId="4DFB70BB" w:rsidR="004336F7" w:rsidRPr="003707A4" w:rsidRDefault="004336F7" w:rsidP="004336F7">
            <w:pPr>
              <w:spacing w:after="0" w:line="240" w:lineRule="auto"/>
              <w:jc w:val="center"/>
              <w:rPr>
                <w:rFonts w:ascii="Calibri" w:eastAsia="Times New Roman" w:hAnsi="Calibri" w:cs="Calibri"/>
              </w:rPr>
            </w:pPr>
            <w:r w:rsidRPr="00A77BB4">
              <w:rPr>
                <w:rFonts w:ascii="Calibri" w:hAnsi="Calibri" w:cs="Calibri"/>
                <w:color w:val="000000"/>
              </w:rPr>
              <w:t>Pass</w:t>
            </w:r>
          </w:p>
        </w:tc>
      </w:tr>
    </w:tbl>
    <w:p w14:paraId="15A580B6" w14:textId="77777777" w:rsidR="00131296" w:rsidRPr="007F2F2D" w:rsidRDefault="00131296" w:rsidP="00131296">
      <w:pPr>
        <w:spacing w:after="0"/>
      </w:pPr>
    </w:p>
    <w:sectPr w:rsidR="00131296" w:rsidRPr="007F2F2D" w:rsidSect="00564C24">
      <w:footerReference w:type="default" r:id="rId8"/>
      <w:pgSz w:w="12240" w:h="15840"/>
      <w:pgMar w:top="720" w:right="720" w:bottom="720" w:left="720" w:header="720" w:footer="1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F6D47" w14:textId="77777777" w:rsidR="00C46451" w:rsidRDefault="00C46451" w:rsidP="009712A1">
      <w:pPr>
        <w:spacing w:after="0" w:line="240" w:lineRule="auto"/>
      </w:pPr>
      <w:r>
        <w:separator/>
      </w:r>
    </w:p>
  </w:endnote>
  <w:endnote w:type="continuationSeparator" w:id="0">
    <w:p w14:paraId="6DFB1AB7" w14:textId="77777777" w:rsidR="00C46451" w:rsidRDefault="00C46451" w:rsidP="00971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95" w:type="dxa"/>
      <w:tblLook w:val="04A0" w:firstRow="1" w:lastRow="0" w:firstColumn="1" w:lastColumn="0" w:noHBand="0" w:noVBand="1"/>
    </w:tblPr>
    <w:tblGrid>
      <w:gridCol w:w="1473"/>
      <w:gridCol w:w="2166"/>
      <w:gridCol w:w="1779"/>
      <w:gridCol w:w="1777"/>
      <w:gridCol w:w="2250"/>
      <w:gridCol w:w="1350"/>
    </w:tblGrid>
    <w:tr w:rsidR="00B70316" w14:paraId="4D39FF28" w14:textId="1D930144" w:rsidTr="00B70316">
      <w:trPr>
        <w:trHeight w:val="550"/>
      </w:trPr>
      <w:tc>
        <w:tcPr>
          <w:tcW w:w="1473" w:type="dxa"/>
        </w:tcPr>
        <w:p w14:paraId="1A9C784F" w14:textId="77777777" w:rsidR="00B70316" w:rsidRDefault="00B70316">
          <w:pPr>
            <w:pStyle w:val="Footer"/>
          </w:pPr>
          <w:r w:rsidRPr="002E660C">
            <w:rPr>
              <w:sz w:val="20"/>
            </w:rPr>
            <w:t xml:space="preserve">Page </w:t>
          </w:r>
          <w:r w:rsidRPr="002E660C">
            <w:rPr>
              <w:sz w:val="20"/>
            </w:rPr>
            <w:fldChar w:fldCharType="begin"/>
          </w:r>
          <w:r w:rsidRPr="002E660C">
            <w:rPr>
              <w:sz w:val="20"/>
            </w:rPr>
            <w:instrText xml:space="preserve"> PAGE </w:instrText>
          </w:r>
          <w:r w:rsidRPr="002E660C">
            <w:rPr>
              <w:sz w:val="20"/>
            </w:rPr>
            <w:fldChar w:fldCharType="separate"/>
          </w:r>
          <w:r>
            <w:rPr>
              <w:noProof/>
              <w:sz w:val="20"/>
            </w:rPr>
            <w:t>1</w:t>
          </w:r>
          <w:r w:rsidRPr="002E660C">
            <w:rPr>
              <w:sz w:val="20"/>
            </w:rPr>
            <w:fldChar w:fldCharType="end"/>
          </w:r>
          <w:r w:rsidRPr="002E660C">
            <w:rPr>
              <w:sz w:val="20"/>
            </w:rPr>
            <w:t xml:space="preserve"> of </w:t>
          </w:r>
          <w:r w:rsidRPr="002E660C">
            <w:rPr>
              <w:sz w:val="20"/>
            </w:rPr>
            <w:fldChar w:fldCharType="begin"/>
          </w:r>
          <w:r w:rsidRPr="002E660C">
            <w:rPr>
              <w:sz w:val="20"/>
            </w:rPr>
            <w:instrText xml:space="preserve"> NUMPAGES </w:instrText>
          </w:r>
          <w:r w:rsidRPr="002E660C">
            <w:rPr>
              <w:sz w:val="20"/>
            </w:rPr>
            <w:fldChar w:fldCharType="separate"/>
          </w:r>
          <w:r>
            <w:rPr>
              <w:noProof/>
              <w:sz w:val="20"/>
            </w:rPr>
            <w:t>9</w:t>
          </w:r>
          <w:r w:rsidRPr="002E660C">
            <w:rPr>
              <w:noProof/>
              <w:sz w:val="20"/>
            </w:rPr>
            <w:fldChar w:fldCharType="end"/>
          </w:r>
        </w:p>
      </w:tc>
      <w:tc>
        <w:tcPr>
          <w:tcW w:w="2166" w:type="dxa"/>
        </w:tcPr>
        <w:p w14:paraId="7FC0210C" w14:textId="77777777" w:rsidR="00B70316" w:rsidRDefault="00B70316">
          <w:pPr>
            <w:pStyle w:val="Footer"/>
          </w:pPr>
          <w:r>
            <w:rPr>
              <w:noProof/>
              <w:sz w:val="13"/>
            </w:rPr>
            <w:drawing>
              <wp:inline distT="0" distB="0" distL="0" distR="0" wp14:anchorId="1AD093A6" wp14:editId="4A1BABF7">
                <wp:extent cx="1114979" cy="486410"/>
                <wp:effectExtent l="0" t="0" r="952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4979" cy="486410"/>
                        </a:xfrm>
                        <a:prstGeom prst="rect">
                          <a:avLst/>
                        </a:prstGeom>
                        <a:noFill/>
                        <a:ln>
                          <a:noFill/>
                        </a:ln>
                      </pic:spPr>
                    </pic:pic>
                  </a:graphicData>
                </a:graphic>
              </wp:inline>
            </w:drawing>
          </w:r>
        </w:p>
      </w:tc>
      <w:tc>
        <w:tcPr>
          <w:tcW w:w="1779" w:type="dxa"/>
        </w:tcPr>
        <w:p w14:paraId="08C0CBF7" w14:textId="77777777" w:rsidR="00B70316" w:rsidRDefault="00B70316">
          <w:pPr>
            <w:pStyle w:val="Footer"/>
            <w:rPr>
              <w:sz w:val="20"/>
            </w:rPr>
          </w:pPr>
          <w:r>
            <w:rPr>
              <w:sz w:val="20"/>
            </w:rPr>
            <w:t>Package:</w:t>
          </w:r>
        </w:p>
        <w:p w14:paraId="675D66EB" w14:textId="4AB95B85" w:rsidR="00B70316" w:rsidRDefault="00AE0C91">
          <w:pPr>
            <w:pStyle w:val="Footer"/>
          </w:pPr>
          <w:r>
            <w:t>SOT-23</w:t>
          </w:r>
        </w:p>
      </w:tc>
      <w:tc>
        <w:tcPr>
          <w:tcW w:w="1777" w:type="dxa"/>
        </w:tcPr>
        <w:p w14:paraId="05423B50" w14:textId="77777777" w:rsidR="00B70316" w:rsidRDefault="00B70316">
          <w:pPr>
            <w:pStyle w:val="Footer"/>
            <w:rPr>
              <w:sz w:val="20"/>
            </w:rPr>
          </w:pPr>
          <w:r>
            <w:rPr>
              <w:sz w:val="20"/>
            </w:rPr>
            <w:t>Submitted by:</w:t>
          </w:r>
        </w:p>
        <w:p w14:paraId="04A3C920" w14:textId="77777777" w:rsidR="00AE0C91" w:rsidRDefault="002D08D2">
          <w:pPr>
            <w:pStyle w:val="Footer"/>
            <w:rPr>
              <w:sz w:val="20"/>
            </w:rPr>
          </w:pPr>
          <w:r>
            <w:rPr>
              <w:sz w:val="20"/>
            </w:rPr>
            <w:t>Shawn Pottorf</w:t>
          </w:r>
        </w:p>
        <w:p w14:paraId="58EA1BCA" w14:textId="793E690A" w:rsidR="002D08D2" w:rsidRDefault="00813A44">
          <w:pPr>
            <w:pStyle w:val="Footer"/>
            <w:rPr>
              <w:sz w:val="20"/>
            </w:rPr>
          </w:pPr>
          <w:r>
            <w:rPr>
              <w:sz w:val="20"/>
            </w:rPr>
            <w:t>6/20/2022</w:t>
          </w:r>
        </w:p>
      </w:tc>
      <w:tc>
        <w:tcPr>
          <w:tcW w:w="2250" w:type="dxa"/>
        </w:tcPr>
        <w:p w14:paraId="28390946" w14:textId="77777777" w:rsidR="00B70316" w:rsidRDefault="00B70316">
          <w:pPr>
            <w:pStyle w:val="Footer"/>
            <w:rPr>
              <w:sz w:val="20"/>
            </w:rPr>
          </w:pPr>
          <w:r>
            <w:rPr>
              <w:sz w:val="20"/>
            </w:rPr>
            <w:t>Approved by:</w:t>
          </w:r>
        </w:p>
        <w:p w14:paraId="6721E50E" w14:textId="77777777" w:rsidR="00B70316" w:rsidRDefault="00274FD6">
          <w:pPr>
            <w:pStyle w:val="Footer"/>
            <w:rPr>
              <w:sz w:val="20"/>
            </w:rPr>
          </w:pPr>
          <w:r>
            <w:rPr>
              <w:sz w:val="20"/>
            </w:rPr>
            <w:t>D. Robinson</w:t>
          </w:r>
        </w:p>
        <w:p w14:paraId="2F2583B2" w14:textId="1278F132" w:rsidR="00274FD6" w:rsidRDefault="002A0968">
          <w:pPr>
            <w:pStyle w:val="Footer"/>
            <w:rPr>
              <w:sz w:val="20"/>
            </w:rPr>
          </w:pPr>
          <w:r>
            <w:rPr>
              <w:sz w:val="20"/>
            </w:rPr>
            <w:t>6/21/2022</w:t>
          </w:r>
        </w:p>
      </w:tc>
      <w:tc>
        <w:tcPr>
          <w:tcW w:w="1350" w:type="dxa"/>
        </w:tcPr>
        <w:p w14:paraId="0DBE5AA9" w14:textId="77777777" w:rsidR="00B70316" w:rsidRDefault="00B70316" w:rsidP="00B70316">
          <w:pPr>
            <w:pStyle w:val="Footer"/>
            <w:jc w:val="center"/>
            <w:rPr>
              <w:sz w:val="20"/>
            </w:rPr>
          </w:pPr>
        </w:p>
        <w:p w14:paraId="2BA4564F" w14:textId="45DBA14B" w:rsidR="00B70316" w:rsidRPr="00B70316" w:rsidRDefault="00B70316" w:rsidP="00B70316">
          <w:pPr>
            <w:pStyle w:val="Footer"/>
            <w:jc w:val="center"/>
            <w:rPr>
              <w:sz w:val="24"/>
              <w:szCs w:val="24"/>
            </w:rPr>
          </w:pPr>
          <w:r w:rsidRPr="00B70316">
            <w:rPr>
              <w:sz w:val="24"/>
              <w:szCs w:val="24"/>
            </w:rPr>
            <w:t>R</w:t>
          </w:r>
          <w:r w:rsidR="00813A44">
            <w:rPr>
              <w:sz w:val="24"/>
              <w:szCs w:val="24"/>
            </w:rPr>
            <w:t>2</w:t>
          </w:r>
        </w:p>
      </w:tc>
    </w:tr>
  </w:tbl>
  <w:p w14:paraId="44FE83EA" w14:textId="77777777" w:rsidR="009712A1" w:rsidRDefault="00971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445C2" w14:textId="77777777" w:rsidR="00C46451" w:rsidRDefault="00C46451" w:rsidP="009712A1">
      <w:pPr>
        <w:spacing w:after="0" w:line="240" w:lineRule="auto"/>
      </w:pPr>
      <w:r>
        <w:separator/>
      </w:r>
    </w:p>
  </w:footnote>
  <w:footnote w:type="continuationSeparator" w:id="0">
    <w:p w14:paraId="25CB7993" w14:textId="77777777" w:rsidR="00C46451" w:rsidRDefault="00C46451" w:rsidP="009712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1"/>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296"/>
    <w:rsid w:val="0006747E"/>
    <w:rsid w:val="00076778"/>
    <w:rsid w:val="00090909"/>
    <w:rsid w:val="00093EE9"/>
    <w:rsid w:val="000C2E7C"/>
    <w:rsid w:val="00131296"/>
    <w:rsid w:val="00216F22"/>
    <w:rsid w:val="0024652E"/>
    <w:rsid w:val="00251182"/>
    <w:rsid w:val="00274FD6"/>
    <w:rsid w:val="002A0968"/>
    <w:rsid w:val="002C5E80"/>
    <w:rsid w:val="002D08D2"/>
    <w:rsid w:val="002E660C"/>
    <w:rsid w:val="00303627"/>
    <w:rsid w:val="00333801"/>
    <w:rsid w:val="003707A4"/>
    <w:rsid w:val="00371B5B"/>
    <w:rsid w:val="003A4FEF"/>
    <w:rsid w:val="003F5A46"/>
    <w:rsid w:val="004336F7"/>
    <w:rsid w:val="0047149A"/>
    <w:rsid w:val="00537DC0"/>
    <w:rsid w:val="005434EC"/>
    <w:rsid w:val="00552AC7"/>
    <w:rsid w:val="00564C24"/>
    <w:rsid w:val="00572F24"/>
    <w:rsid w:val="005829A2"/>
    <w:rsid w:val="0058359F"/>
    <w:rsid w:val="00601486"/>
    <w:rsid w:val="006351E8"/>
    <w:rsid w:val="00661D37"/>
    <w:rsid w:val="00687AFE"/>
    <w:rsid w:val="00717F12"/>
    <w:rsid w:val="00793B3A"/>
    <w:rsid w:val="007A5443"/>
    <w:rsid w:val="007F2F2D"/>
    <w:rsid w:val="00813A44"/>
    <w:rsid w:val="00850C2A"/>
    <w:rsid w:val="008A6ED1"/>
    <w:rsid w:val="008C2CD6"/>
    <w:rsid w:val="008F4502"/>
    <w:rsid w:val="009327F1"/>
    <w:rsid w:val="00956A4D"/>
    <w:rsid w:val="00961285"/>
    <w:rsid w:val="009712A1"/>
    <w:rsid w:val="00A33279"/>
    <w:rsid w:val="00A37C64"/>
    <w:rsid w:val="00A56EAA"/>
    <w:rsid w:val="00A7270B"/>
    <w:rsid w:val="00AB1FBB"/>
    <w:rsid w:val="00AC54F9"/>
    <w:rsid w:val="00AE0C91"/>
    <w:rsid w:val="00AF2050"/>
    <w:rsid w:val="00AF3D4B"/>
    <w:rsid w:val="00B70316"/>
    <w:rsid w:val="00BA267A"/>
    <w:rsid w:val="00BC5596"/>
    <w:rsid w:val="00BD0436"/>
    <w:rsid w:val="00C43A0C"/>
    <w:rsid w:val="00C46451"/>
    <w:rsid w:val="00CC591F"/>
    <w:rsid w:val="00CE4AAD"/>
    <w:rsid w:val="00CF2A83"/>
    <w:rsid w:val="00D03807"/>
    <w:rsid w:val="00D42BD9"/>
    <w:rsid w:val="00D476EC"/>
    <w:rsid w:val="00D906B6"/>
    <w:rsid w:val="00DA0B75"/>
    <w:rsid w:val="00DB5ABC"/>
    <w:rsid w:val="00E842EE"/>
    <w:rsid w:val="00E9085E"/>
    <w:rsid w:val="00F22EEC"/>
    <w:rsid w:val="00F87C50"/>
    <w:rsid w:val="00FB102B"/>
    <w:rsid w:val="00FD1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BCF2655"/>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2A1"/>
  </w:style>
  <w:style w:type="paragraph" w:styleId="Footer">
    <w:name w:val="footer"/>
    <w:basedOn w:val="Normal"/>
    <w:link w:val="FooterChar"/>
    <w:uiPriority w:val="99"/>
    <w:unhideWhenUsed/>
    <w:rsid w:val="00971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2A1"/>
  </w:style>
  <w:style w:type="table" w:styleId="TableGrid">
    <w:name w:val="Table Grid"/>
    <w:basedOn w:val="TableNormal"/>
    <w:uiPriority w:val="39"/>
    <w:rsid w:val="00564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671966">
      <w:bodyDiv w:val="1"/>
      <w:marLeft w:val="0"/>
      <w:marRight w:val="0"/>
      <w:marTop w:val="0"/>
      <w:marBottom w:val="0"/>
      <w:divBdr>
        <w:top w:val="none" w:sz="0" w:space="0" w:color="auto"/>
        <w:left w:val="none" w:sz="0" w:space="0" w:color="auto"/>
        <w:bottom w:val="none" w:sz="0" w:space="0" w:color="auto"/>
        <w:right w:val="none" w:sz="0" w:space="0" w:color="auto"/>
      </w:divBdr>
    </w:div>
    <w:div w:id="657080838">
      <w:bodyDiv w:val="1"/>
      <w:marLeft w:val="0"/>
      <w:marRight w:val="0"/>
      <w:marTop w:val="0"/>
      <w:marBottom w:val="0"/>
      <w:divBdr>
        <w:top w:val="none" w:sz="0" w:space="0" w:color="auto"/>
        <w:left w:val="none" w:sz="0" w:space="0" w:color="auto"/>
        <w:bottom w:val="none" w:sz="0" w:space="0" w:color="auto"/>
        <w:right w:val="none" w:sz="0" w:space="0" w:color="auto"/>
      </w:divBdr>
    </w:div>
    <w:div w:id="767582059">
      <w:bodyDiv w:val="1"/>
      <w:marLeft w:val="0"/>
      <w:marRight w:val="0"/>
      <w:marTop w:val="0"/>
      <w:marBottom w:val="0"/>
      <w:divBdr>
        <w:top w:val="none" w:sz="0" w:space="0" w:color="auto"/>
        <w:left w:val="none" w:sz="0" w:space="0" w:color="auto"/>
        <w:bottom w:val="none" w:sz="0" w:space="0" w:color="auto"/>
        <w:right w:val="none" w:sz="0" w:space="0" w:color="auto"/>
      </w:divBdr>
    </w:div>
    <w:div w:id="979306943">
      <w:bodyDiv w:val="1"/>
      <w:marLeft w:val="0"/>
      <w:marRight w:val="0"/>
      <w:marTop w:val="0"/>
      <w:marBottom w:val="0"/>
      <w:divBdr>
        <w:top w:val="none" w:sz="0" w:space="0" w:color="auto"/>
        <w:left w:val="none" w:sz="0" w:space="0" w:color="auto"/>
        <w:bottom w:val="none" w:sz="0" w:space="0" w:color="auto"/>
        <w:right w:val="none" w:sz="0" w:space="0" w:color="auto"/>
      </w:divBdr>
    </w:div>
    <w:div w:id="1080518436">
      <w:bodyDiv w:val="1"/>
      <w:marLeft w:val="0"/>
      <w:marRight w:val="0"/>
      <w:marTop w:val="0"/>
      <w:marBottom w:val="0"/>
      <w:divBdr>
        <w:top w:val="none" w:sz="0" w:space="0" w:color="auto"/>
        <w:left w:val="none" w:sz="0" w:space="0" w:color="auto"/>
        <w:bottom w:val="none" w:sz="0" w:space="0" w:color="auto"/>
        <w:right w:val="none" w:sz="0" w:space="0" w:color="auto"/>
      </w:divBdr>
    </w:div>
    <w:div w:id="163506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2055</Words>
  <Characters>11719</Characters>
  <Application>Microsoft Office Word</Application>
  <DocSecurity>8</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2023-06-01T16:21:00Z</dcterms:created>
  <dcterms:modified xsi:type="dcterms:W3CDTF">2023-06-01T16:21:00Z</dcterms:modified>
</cp:coreProperties>
</file>